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200"/>
        <w:gridCol w:w="3160"/>
      </w:tblGrid>
      <w:tr>
        <w:tc>
          <w:tcPr>
            <w:tcW w:type="dxa" w:w="6200"/>
            <w:tcBorders>
              <w:top w:val="none" w:color="FFFFFF" w:sz="0"/>
              <w:left w:val="none" w:color="FFFFFF" w:sz="0"/>
              <w:bottom w:val="none" w:color="FFFFFF" w:sz="0"/>
              <w:right w:val="none" w:color="FFFFFF" w:sz="0"/>
            </w:tcBorders>
          </w:tcPr>
          <w:p>
            <w:r>
              <w:rPr>
                <w:rFonts w:ascii="Calibri" w:cs="Calibri" w:eastAsia="Calibri" w:hAnsi="Calibri"/>
                <w:b/>
                <w:bCs/>
                <w:color w:val="1B2B4B"/>
                <w:sz w:val="42"/>
                <w:szCs w:val="42"/>
              </w:rPr>
              <w:t xml:space="preserve">FRONTPAC</w:t>
            </w:r>
          </w:p>
          <w:p>
            <w:r>
              <w:rPr>
                <w:rFonts w:ascii="Calibri" w:cs="Calibri" w:eastAsia="Calibri" w:hAnsi="Calibri"/>
                <w:color w:val="64748B"/>
                <w:sz w:val="20"/>
                <w:szCs w:val="20"/>
              </w:rPr>
              <w:t xml:space="preserve">Förpackningslösningar för livsmedelsindustrin</w:t>
            </w:r>
          </w:p>
        </w:tc>
        <w:tc>
          <w:tcPr>
            <w:tcW w:type="dxa" w:w="3160"/>
            <w:tcBorders>
              <w:top w:val="none" w:color="FFFFFF" w:sz="0"/>
              <w:left w:val="none" w:color="FFFFFF" w:sz="0"/>
              <w:bottom w:val="none" w:color="FFFFFF" w:sz="0"/>
              <w:right w:val="none" w:color="FFFFFF" w:sz="0"/>
            </w:tcBorders>
            <w:vAlign w:val="bottom"/>
          </w:tcPr>
          <w:p>
            <w:pPr>
              <w:jc w:val="right"/>
            </w:pPr>
            <w:r>
              <w:rPr>
                <w:rFonts w:ascii="Calibri" w:cs="Calibri" w:eastAsia="Calibri" w:hAnsi="Calibri"/>
                <w:color w:val="64748B"/>
                <w:sz w:val="18"/>
                <w:szCs w:val="18"/>
              </w:rPr>
              <w:t xml:space="preserve">Industrivägen 22, 433 61 Sävedalen</w:t>
            </w:r>
          </w:p>
          <w:p>
            <w:pPr>
              <w:jc w:val="right"/>
            </w:pPr>
            <w:r>
              <w:rPr>
                <w:rFonts w:ascii="Calibri" w:cs="Calibri" w:eastAsia="Calibri" w:hAnsi="Calibri"/>
                <w:color w:val="64748B"/>
                <w:sz w:val="18"/>
                <w:szCs w:val="18"/>
              </w:rPr>
              <w:t xml:space="preserve">offert@frontpac.se  |  031-778 90 00</w:t>
            </w:r>
          </w:p>
          <w:p>
            <w:pPr>
              <w:jc w:val="right"/>
            </w:pPr>
            <w:r>
              <w:rPr>
                <w:rFonts w:ascii="Calibri" w:cs="Calibri" w:eastAsia="Calibri" w:hAnsi="Calibri"/>
                <w:color w:val="0891B2"/>
                <w:sz w:val="18"/>
                <w:szCs w:val="18"/>
              </w:rPr>
              <w:t xml:space="preserve">www.frontpac.se</w:t>
            </w:r>
          </w:p>
        </w:tc>
      </w:tr>
    </w:tbl>
    <w:p>
      <w:pPr>
        <w:pBdr>
          <w:bottom w:val="single" w:color="1B2B4B" w:sz="12"/>
        </w:pBdr>
        <w:spacing w:after="240"/>
      </w:pPr>
      <w:r>
        <w:t xml:space="preserve"/>
      </w:r>
    </w:p>
    <w:p>
      <w:pPr>
        <w:pBdr>
          <w:bottom w:val="single" w:color="0891B2" w:sz="4"/>
        </w:pBdr>
        <w:spacing w:after="24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3600"/>
        <w:gridCol w:w="720"/>
        <w:gridCol w:w="1800"/>
        <w:gridCol w:w="1800"/>
      </w:tblGrid>
      <w:tr>
        <w:tc>
          <w:tcPr>
            <w:tcW w:type="dxa" w:w="1440"/>
            <w:tcBorders>
              <w:top w:val="none" w:color="FFFFFF" w:sz="0"/>
              <w:left w:val="none" w:color="FFFFFF" w:sz="0"/>
              <w:bottom w:val="none" w:color="FFFFFF" w:sz="0"/>
              <w:right w:val="none" w:color="FFFFFF" w:sz="0"/>
            </w:tcBorders>
          </w:tcPr>
          <w:p>
            <w:pPr>
              <w:spacing w:after="60"/>
              <w:jc w:val="left"/>
            </w:pPr>
            <w:r>
              <w:rPr>
                <w:rFonts w:ascii="Calibri" w:cs="Calibri" w:eastAsia="Calibri" w:hAnsi="Calibri"/>
                <w:b/>
                <w:bCs/>
                <w:i w:val="false"/>
                <w:iCs w:val="false"/>
                <w:color w:val="1B2B4B"/>
                <w:sz w:val="22"/>
                <w:szCs w:val="22"/>
              </w:rPr>
              <w:t xml:space="preserve">Till:</w:t>
            </w:r>
          </w:p>
        </w:tc>
        <w:tc>
          <w:tcPr>
            <w:tcW w:type="dxa" w:w="3600"/>
            <w:tcBorders>
              <w:top w:val="none" w:color="FFFFFF" w:sz="0"/>
              <w:left w:val="none" w:color="FFFFFF" w:sz="0"/>
              <w:bottom w:val="none" w:color="FFFFFF" w:sz="0"/>
              <w:right w:val="none" w:color="FFFFFF" w:sz="0"/>
            </w:tcBorders>
          </w:tcPr>
          <w:p>
            <w:pPr>
              <w:spacing w:after="60"/>
              <w:jc w:val="left"/>
            </w:pPr>
            <w:r>
              <w:rPr>
                <w:rFonts w:ascii="Calibri" w:cs="Calibri" w:eastAsia="Calibri" w:hAnsi="Calibri"/>
                <w:b w:val="false"/>
                <w:bCs w:val="false"/>
                <w:i w:val="false"/>
                <w:iCs w:val="false"/>
                <w:color w:val="475569"/>
                <w:sz w:val="22"/>
                <w:szCs w:val="22"/>
              </w:rPr>
              <w:t xml:space="preserve">Emma Lindqvist, Nordic Dryck AB</w:t>
            </w:r>
          </w:p>
        </w:tc>
        <w:tc>
          <w:tcPr>
            <w:tcW w:type="dxa" w:w="720"/>
            <w:tcBorders>
              <w:top w:val="none" w:color="FFFFFF" w:sz="0"/>
              <w:left w:val="none" w:color="FFFFFF" w:sz="0"/>
              <w:bottom w:val="none" w:color="FFFFFF" w:sz="0"/>
              <w:right w:val="none" w:color="FFFFFF" w:sz="0"/>
            </w:tcBorders>
          </w:tcPr>
          <w:p>
            <w:pPr>
              <w:spacing w:after="60"/>
              <w:jc w:val="left"/>
            </w:pPr>
            <w:r>
              <w:rPr>
                <w:rFonts w:ascii="Calibri" w:cs="Calibri" w:eastAsia="Calibri" w:hAnsi="Calibri"/>
                <w:b w:val="false"/>
                <w:bCs w:val="false"/>
                <w:i w:val="false"/>
                <w:iCs w:val="false"/>
                <w:color w:val="475569"/>
                <w:sz w:val="22"/>
                <w:szCs w:val="22"/>
              </w:rPr>
              <w:t xml:space="preserve"/>
            </w:r>
          </w:p>
        </w:tc>
        <w:tc>
          <w:tcPr>
            <w:tcW w:type="dxa" w:w="1800"/>
            <w:tcBorders>
              <w:top w:val="none" w:color="FFFFFF" w:sz="0"/>
              <w:left w:val="none" w:color="FFFFFF" w:sz="0"/>
              <w:bottom w:val="none" w:color="FFFFFF" w:sz="0"/>
              <w:right w:val="none" w:color="FFFFFF" w:sz="0"/>
            </w:tcBorders>
          </w:tcPr>
          <w:p>
            <w:pPr>
              <w:spacing w:after="60"/>
              <w:jc w:val="left"/>
            </w:pPr>
            <w:r>
              <w:rPr>
                <w:rFonts w:ascii="Calibri" w:cs="Calibri" w:eastAsia="Calibri" w:hAnsi="Calibri"/>
                <w:b/>
                <w:bCs/>
                <w:i w:val="false"/>
                <w:iCs w:val="false"/>
                <w:color w:val="1B2B4B"/>
                <w:sz w:val="22"/>
                <w:szCs w:val="22"/>
              </w:rPr>
              <w:t xml:space="preserve">Offert nr:</w:t>
            </w:r>
          </w:p>
        </w:tc>
        <w:tc>
          <w:tcPr>
            <w:tcW w:type="dxa" w:w="1800"/>
            <w:tcBorders>
              <w:top w:val="none" w:color="FFFFFF" w:sz="0"/>
              <w:left w:val="none" w:color="FFFFFF" w:sz="0"/>
              <w:bottom w:val="none" w:color="FFFFFF" w:sz="0"/>
              <w:right w:val="none" w:color="FFFFFF" w:sz="0"/>
            </w:tcBorders>
          </w:tcPr>
          <w:p>
            <w:pPr>
              <w:spacing w:after="60"/>
              <w:jc w:val="left"/>
            </w:pPr>
            <w:r>
              <w:rPr>
                <w:rFonts w:ascii="Calibri" w:cs="Calibri" w:eastAsia="Calibri" w:hAnsi="Calibri"/>
                <w:b w:val="false"/>
                <w:bCs w:val="false"/>
                <w:i w:val="false"/>
                <w:iCs w:val="false"/>
                <w:color w:val="475569"/>
                <w:sz w:val="22"/>
                <w:szCs w:val="22"/>
              </w:rPr>
              <w:t xml:space="preserve">FP-OFF-2026-0312</w:t>
            </w:r>
          </w:p>
        </w:tc>
      </w:tr>
      <w:tr>
        <w:tc>
          <w:tcPr>
            <w:tcW w:type="dxa" w:w="1440"/>
            <w:tcBorders>
              <w:top w:val="none" w:color="FFFFFF" w:sz="0"/>
              <w:left w:val="none" w:color="FFFFFF" w:sz="0"/>
              <w:bottom w:val="none" w:color="FFFFFF" w:sz="0"/>
              <w:right w:val="none" w:color="FFFFFF" w:sz="0"/>
            </w:tcBorders>
          </w:tcPr>
          <w:p>
            <w:pPr>
              <w:spacing w:after="60"/>
              <w:jc w:val="left"/>
            </w:pPr>
            <w:r>
              <w:rPr>
                <w:rFonts w:ascii="Calibri" w:cs="Calibri" w:eastAsia="Calibri" w:hAnsi="Calibri"/>
                <w:b/>
                <w:bCs/>
                <w:i w:val="false"/>
                <w:iCs w:val="false"/>
                <w:color w:val="1B2B4B"/>
                <w:sz w:val="22"/>
                <w:szCs w:val="22"/>
              </w:rPr>
              <w:t xml:space="preserve">Från:</w:t>
            </w:r>
          </w:p>
        </w:tc>
        <w:tc>
          <w:tcPr>
            <w:tcW w:type="dxa" w:w="3600"/>
            <w:tcBorders>
              <w:top w:val="none" w:color="FFFFFF" w:sz="0"/>
              <w:left w:val="none" w:color="FFFFFF" w:sz="0"/>
              <w:bottom w:val="none" w:color="FFFFFF" w:sz="0"/>
              <w:right w:val="none" w:color="FFFFFF" w:sz="0"/>
            </w:tcBorders>
          </w:tcPr>
          <w:p>
            <w:pPr>
              <w:spacing w:after="60"/>
              <w:jc w:val="left"/>
            </w:pPr>
            <w:r>
              <w:rPr>
                <w:rFonts w:ascii="Calibri" w:cs="Calibri" w:eastAsia="Calibri" w:hAnsi="Calibri"/>
                <w:b w:val="false"/>
                <w:bCs w:val="false"/>
                <w:i w:val="false"/>
                <w:iCs w:val="false"/>
                <w:color w:val="475569"/>
                <w:sz w:val="22"/>
                <w:szCs w:val="22"/>
              </w:rPr>
              <w:t xml:space="preserve">Marcus Ström, Key Account Manager</w:t>
            </w:r>
          </w:p>
        </w:tc>
        <w:tc>
          <w:tcPr>
            <w:tcW w:type="dxa" w:w="720"/>
            <w:tcBorders>
              <w:top w:val="none" w:color="FFFFFF" w:sz="0"/>
              <w:left w:val="none" w:color="FFFFFF" w:sz="0"/>
              <w:bottom w:val="none" w:color="FFFFFF" w:sz="0"/>
              <w:right w:val="none" w:color="FFFFFF" w:sz="0"/>
            </w:tcBorders>
          </w:tcPr>
          <w:p>
            <w:pPr>
              <w:spacing w:after="60"/>
              <w:jc w:val="left"/>
            </w:pPr>
            <w:r>
              <w:rPr>
                <w:rFonts w:ascii="Calibri" w:cs="Calibri" w:eastAsia="Calibri" w:hAnsi="Calibri"/>
                <w:b w:val="false"/>
                <w:bCs w:val="false"/>
                <w:i w:val="false"/>
                <w:iCs w:val="false"/>
                <w:color w:val="475569"/>
                <w:sz w:val="22"/>
                <w:szCs w:val="22"/>
              </w:rPr>
              <w:t xml:space="preserve"/>
            </w:r>
          </w:p>
        </w:tc>
        <w:tc>
          <w:tcPr>
            <w:tcW w:type="dxa" w:w="1800"/>
            <w:tcBorders>
              <w:top w:val="none" w:color="FFFFFF" w:sz="0"/>
              <w:left w:val="none" w:color="FFFFFF" w:sz="0"/>
              <w:bottom w:val="none" w:color="FFFFFF" w:sz="0"/>
              <w:right w:val="none" w:color="FFFFFF" w:sz="0"/>
            </w:tcBorders>
          </w:tcPr>
          <w:p>
            <w:pPr>
              <w:spacing w:after="60"/>
              <w:jc w:val="left"/>
            </w:pPr>
            <w:r>
              <w:rPr>
                <w:rFonts w:ascii="Calibri" w:cs="Calibri" w:eastAsia="Calibri" w:hAnsi="Calibri"/>
                <w:b/>
                <w:bCs/>
                <w:i w:val="false"/>
                <w:iCs w:val="false"/>
                <w:color w:val="1B2B4B"/>
                <w:sz w:val="22"/>
                <w:szCs w:val="22"/>
              </w:rPr>
              <w:t xml:space="preserve">Datum:</w:t>
            </w:r>
          </w:p>
        </w:tc>
        <w:tc>
          <w:tcPr>
            <w:tcW w:type="dxa" w:w="1800"/>
            <w:tcBorders>
              <w:top w:val="none" w:color="FFFFFF" w:sz="0"/>
              <w:left w:val="none" w:color="FFFFFF" w:sz="0"/>
              <w:bottom w:val="none" w:color="FFFFFF" w:sz="0"/>
              <w:right w:val="none" w:color="FFFFFF" w:sz="0"/>
            </w:tcBorders>
          </w:tcPr>
          <w:p>
            <w:pPr>
              <w:spacing w:after="60"/>
              <w:jc w:val="left"/>
            </w:pPr>
            <w:r>
              <w:rPr>
                <w:rFonts w:ascii="Calibri" w:cs="Calibri" w:eastAsia="Calibri" w:hAnsi="Calibri"/>
                <w:b w:val="false"/>
                <w:bCs w:val="false"/>
                <w:i w:val="false"/>
                <w:iCs w:val="false"/>
                <w:color w:val="475569"/>
                <w:sz w:val="22"/>
                <w:szCs w:val="22"/>
              </w:rPr>
              <w:t xml:space="preserve">19 mars 2026</w:t>
            </w:r>
          </w:p>
        </w:tc>
      </w:tr>
      <w:tr>
        <w:tc>
          <w:tcPr>
            <w:tcW w:type="dxa" w:w="1440"/>
            <w:tcBorders>
              <w:top w:val="none" w:color="FFFFFF" w:sz="0"/>
              <w:left w:val="none" w:color="FFFFFF" w:sz="0"/>
              <w:bottom w:val="none" w:color="FFFFFF" w:sz="0"/>
              <w:right w:val="none" w:color="FFFFFF" w:sz="0"/>
            </w:tcBorders>
          </w:tcPr>
          <w:p>
            <w:pPr>
              <w:spacing w:after="60"/>
              <w:jc w:val="left"/>
            </w:pPr>
            <w:r>
              <w:rPr>
                <w:rFonts w:ascii="Calibri" w:cs="Calibri" w:eastAsia="Calibri" w:hAnsi="Calibri"/>
                <w:b/>
                <w:bCs/>
                <w:i w:val="false"/>
                <w:iCs w:val="false"/>
                <w:color w:val="1B2B4B"/>
                <w:sz w:val="22"/>
                <w:szCs w:val="22"/>
              </w:rPr>
              <w:t xml:space="preserve">Er ref:</w:t>
            </w:r>
          </w:p>
        </w:tc>
        <w:tc>
          <w:tcPr>
            <w:tcW w:type="dxa" w:w="3600"/>
            <w:tcBorders>
              <w:top w:val="none" w:color="FFFFFF" w:sz="0"/>
              <w:left w:val="none" w:color="FFFFFF" w:sz="0"/>
              <w:bottom w:val="none" w:color="FFFFFF" w:sz="0"/>
              <w:right w:val="none" w:color="FFFFFF" w:sz="0"/>
            </w:tcBorders>
          </w:tcPr>
          <w:p>
            <w:pPr>
              <w:spacing w:after="60"/>
              <w:jc w:val="left"/>
            </w:pPr>
            <w:r>
              <w:rPr>
                <w:rFonts w:ascii="Calibri" w:cs="Calibri" w:eastAsia="Calibri" w:hAnsi="Calibri"/>
                <w:b w:val="false"/>
                <w:bCs w:val="false"/>
                <w:i w:val="false"/>
                <w:iCs w:val="false"/>
                <w:color w:val="475569"/>
                <w:sz w:val="22"/>
                <w:szCs w:val="22"/>
              </w:rPr>
              <w:t xml:space="preserve">ND-RFQ-2026-031</w:t>
            </w:r>
          </w:p>
        </w:tc>
        <w:tc>
          <w:tcPr>
            <w:tcW w:type="dxa" w:w="720"/>
            <w:tcBorders>
              <w:top w:val="none" w:color="FFFFFF" w:sz="0"/>
              <w:left w:val="none" w:color="FFFFFF" w:sz="0"/>
              <w:bottom w:val="none" w:color="FFFFFF" w:sz="0"/>
              <w:right w:val="none" w:color="FFFFFF" w:sz="0"/>
            </w:tcBorders>
          </w:tcPr>
          <w:p>
            <w:pPr>
              <w:spacing w:after="60"/>
              <w:jc w:val="left"/>
            </w:pPr>
            <w:r>
              <w:rPr>
                <w:rFonts w:ascii="Calibri" w:cs="Calibri" w:eastAsia="Calibri" w:hAnsi="Calibri"/>
                <w:b w:val="false"/>
                <w:bCs w:val="false"/>
                <w:i w:val="false"/>
                <w:iCs w:val="false"/>
                <w:color w:val="475569"/>
                <w:sz w:val="22"/>
                <w:szCs w:val="22"/>
              </w:rPr>
              <w:t xml:space="preserve"/>
            </w:r>
          </w:p>
        </w:tc>
        <w:tc>
          <w:tcPr>
            <w:tcW w:type="dxa" w:w="1800"/>
            <w:tcBorders>
              <w:top w:val="none" w:color="FFFFFF" w:sz="0"/>
              <w:left w:val="none" w:color="FFFFFF" w:sz="0"/>
              <w:bottom w:val="none" w:color="FFFFFF" w:sz="0"/>
              <w:right w:val="none" w:color="FFFFFF" w:sz="0"/>
            </w:tcBorders>
          </w:tcPr>
          <w:p>
            <w:pPr>
              <w:spacing w:after="60"/>
              <w:jc w:val="left"/>
            </w:pPr>
            <w:r>
              <w:rPr>
                <w:rFonts w:ascii="Calibri" w:cs="Calibri" w:eastAsia="Calibri" w:hAnsi="Calibri"/>
                <w:b/>
                <w:bCs/>
                <w:i w:val="false"/>
                <w:iCs w:val="false"/>
                <w:color w:val="1B2B4B"/>
                <w:sz w:val="22"/>
                <w:szCs w:val="22"/>
              </w:rPr>
              <w:t xml:space="preserve">Giltig t.o.m:</w:t>
            </w:r>
          </w:p>
        </w:tc>
        <w:tc>
          <w:tcPr>
            <w:tcW w:type="dxa" w:w="1800"/>
            <w:tcBorders>
              <w:top w:val="none" w:color="FFFFFF" w:sz="0"/>
              <w:left w:val="none" w:color="FFFFFF" w:sz="0"/>
              <w:bottom w:val="none" w:color="FFFFFF" w:sz="0"/>
              <w:right w:val="none" w:color="FFFFFF" w:sz="0"/>
            </w:tcBorders>
          </w:tcPr>
          <w:p>
            <w:pPr>
              <w:spacing w:after="60"/>
              <w:jc w:val="left"/>
            </w:pPr>
            <w:r>
              <w:rPr>
                <w:rFonts w:ascii="Calibri" w:cs="Calibri" w:eastAsia="Calibri" w:hAnsi="Calibri"/>
                <w:b w:val="false"/>
                <w:bCs w:val="false"/>
                <w:i w:val="false"/>
                <w:iCs w:val="false"/>
                <w:color w:val="475569"/>
                <w:sz w:val="22"/>
                <w:szCs w:val="22"/>
              </w:rPr>
              <w:t xml:space="preserve">28 april 2026</w:t>
            </w:r>
          </w:p>
        </w:tc>
      </w:tr>
    </w:tbl>
    <w:p>
      <w:pPr>
        <w:spacing w:after="80"/>
      </w:pPr>
      <w:r>
        <w:t xml:space="preserve"/>
      </w:r>
    </w:p>
    <w:p>
      <w:pPr>
        <w:pBdr>
          <w:bottom w:val="single" w:color="E2E8F0" w:sz="4"/>
        </w:pBdr>
        <w:spacing w:after="240"/>
      </w:pPr>
      <w:r>
        <w:t xml:space="preserve"/>
      </w:r>
    </w:p>
    <w:p>
      <w:pPr>
        <w:spacing w:after="160"/>
        <w:jc w:val="left"/>
      </w:pPr>
      <w:r>
        <w:rPr>
          <w:rFonts w:ascii="Calibri" w:cs="Calibri" w:eastAsia="Calibri" w:hAnsi="Calibri"/>
          <w:b w:val="false"/>
          <w:bCs w:val="false"/>
          <w:i w:val="false"/>
          <w:iCs w:val="false"/>
          <w:color w:val="475569"/>
          <w:sz w:val="22"/>
          <w:szCs w:val="22"/>
        </w:rPr>
        <w:t xml:space="preserve">Hej Emma,</w:t>
      </w:r>
    </w:p>
    <w:p>
      <w:pPr>
        <w:spacing w:after="200"/>
        <w:jc w:val="left"/>
      </w:pPr>
      <w:r>
        <w:rPr>
          <w:rFonts w:ascii="Calibri" w:cs="Calibri" w:eastAsia="Calibri" w:hAnsi="Calibri"/>
          <w:b w:val="false"/>
          <w:bCs w:val="false"/>
          <w:i w:val="false"/>
          <w:iCs w:val="false"/>
          <w:color w:val="475569"/>
          <w:sz w:val="22"/>
          <w:szCs w:val="22"/>
        </w:rPr>
        <w:t xml:space="preserve">Tack för er förfrågan – vi ser verkligen fram emot möjligheten att bli er förpackningspartner. Efter att noggrant ha gått igenom era specifikationer kan vi bekräfta att vi fullt ut möter samtliga krav ni ställer, och vi har satt ihop en offert som vi tror kommer att överträffa era förväntningar.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
        <w:gridCol w:w="9160"/>
      </w:tblGrid>
      <w:tr>
        <w:tc>
          <w:tcPr>
            <w:tcW w:type="dxa" w:w="200"/>
            <w:tcBorders>
              <w:top w:val="none" w:color="FFFFFF" w:sz="0"/>
              <w:left w:val="none" w:color="FFFFFF" w:sz="0"/>
              <w:bottom w:val="none" w:color="FFFFFF" w:sz="0"/>
              <w:right w:val="none" w:color="FFFFFF" w:sz="0"/>
            </w:tcBorders>
            <w:shd w:fill="0891B2" w:val="clear"/>
          </w:tcPr>
          <w:p>
            <w:r>
              <w:t xml:space="preserve"/>
            </w:r>
          </w:p>
        </w:tc>
        <w:tc>
          <w:tcPr>
            <w:tcW w:type="dxa" w:w="9160"/>
            <w:tcBorders>
              <w:top w:val="single" w:color="0891B2" w:sz="4"/>
              <w:left w:val="single" w:color="0891B2" w:sz="4"/>
              <w:bottom w:val="single" w:color="0891B2" w:sz="4"/>
              <w:right w:val="single" w:color="0891B2" w:sz="4"/>
            </w:tcBorders>
            <w:shd w:fill="E0F2FE" w:val="clear"/>
            <w:tcMar>
              <w:top w:type="dxa" w:w="160"/>
              <w:left w:type="dxa" w:w="240"/>
              <w:bottom w:type="dxa" w:w="160"/>
              <w:right w:type="dxa" w:w="240"/>
            </w:tcMar>
          </w:tcPr>
          <w:p>
            <w:pPr>
              <w:spacing w:after="100"/>
            </w:pPr>
            <w:r>
              <w:rPr>
                <w:rFonts w:ascii="Calibri" w:cs="Calibri" w:eastAsia="Calibri" w:hAnsi="Calibri"/>
                <w:b/>
                <w:bCs/>
                <w:color w:val="1B2B4B"/>
                <w:sz w:val="24"/>
                <w:szCs w:val="24"/>
              </w:rPr>
              <w:t xml:space="preserve">Varför Frontpac? – Tre skäl att välja oss</w:t>
            </w:r>
          </w:p>
          <w:p>
            <w:pPr>
              <w:pStyle w:val="ListParagraph"/>
              <w:numPr>
                <w:ilvl w:val="0"/>
                <w:numId w:val="2"/>
              </w:numPr>
              <w:spacing w:after="80"/>
            </w:pPr>
            <w:r>
              <w:rPr>
                <w:rFonts w:ascii="Calibri" w:cs="Calibri" w:eastAsia="Calibri" w:hAnsi="Calibri"/>
                <w:color w:val="475569"/>
                <w:sz w:val="22"/>
                <w:szCs w:val="22"/>
              </w:rPr>
              <w:t xml:space="preserve">30 års erfarenhet av livsmedelsförpackningar – vi förstår era produktionskrav utan inlärningskurva</w:t>
            </w:r>
          </w:p>
          <w:p>
            <w:pPr>
              <w:pStyle w:val="ListParagraph"/>
              <w:numPr>
                <w:ilvl w:val="0"/>
                <w:numId w:val="2"/>
              </w:numPr>
              <w:spacing w:after="80"/>
            </w:pPr>
            <w:r>
              <w:rPr>
                <w:rFonts w:ascii="Calibri" w:cs="Calibri" w:eastAsia="Calibri" w:hAnsi="Calibri"/>
                <w:color w:val="475569"/>
                <w:sz w:val="22"/>
                <w:szCs w:val="22"/>
              </w:rPr>
              <w:t xml:space="preserve">99,1 % leveransprecision mätt Q4 2025 – vi är byggda för JIT-produktion precis som er</w:t>
            </w:r>
          </w:p>
          <w:p>
            <w:pPr>
              <w:pStyle w:val="ListParagraph"/>
              <w:numPr>
                <w:ilvl w:val="0"/>
                <w:numId w:val="2"/>
              </w:numPr>
              <w:spacing w:after="80"/>
            </w:pPr>
            <w:r>
              <w:rPr>
                <w:rFonts w:ascii="Calibri" w:cs="Calibri" w:eastAsia="Calibri" w:hAnsi="Calibri"/>
                <w:color w:val="475569"/>
                <w:sz w:val="22"/>
                <w:szCs w:val="22"/>
              </w:rPr>
              <w:t xml:space="preserve">Heltäckande certifieringar: FSC, ISO 9001:2015, BRC/IoP Global Standard och EU 10/2011</w:t>
            </w:r>
          </w:p>
        </w:tc>
      </w:tr>
    </w:tbl>
    <w:p>
      <w:pPr>
        <w:spacing w:after="160"/>
      </w:pPr>
      <w:r>
        <w:t xml:space="preserve"/>
      </w:r>
    </w:p>
    <w:p>
      <w:pPr>
        <w:pStyle w:val="Heading2"/>
      </w:pPr>
      <w:r>
        <w:rPr>
          <w:rFonts w:ascii="Calibri" w:cs="Calibri" w:eastAsia="Calibri" w:hAnsi="Calibri"/>
          <w:b/>
          <w:bCs/>
          <w:color w:val="1B2B4B"/>
        </w:rPr>
        <w:t xml:space="preserve">1.  Prisoffert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
        <w:gridCol w:w="2720"/>
        <w:gridCol w:w="1120"/>
        <w:gridCol w:w="1120"/>
        <w:gridCol w:w="1120"/>
        <w:gridCol w:w="1120"/>
        <w:gridCol w:w="1120"/>
        <w:gridCol w:w="1120"/>
        <w:gridCol w:w="520"/>
      </w:tblGrid>
      <w:tr>
        <w:tc>
          <w:tcPr>
            <w:tcW w:type="dxa" w:w="320"/>
            <w:tcBorders>
              <w:top w:val="single" w:color="1B2B4B" w:sz="4"/>
              <w:left w:val="single" w:color="1B2B4B" w:sz="4"/>
              <w:bottom w:val="single" w:color="1B2B4B" w:sz="4"/>
              <w:right w:val="single" w:color="1B2B4B" w:sz="4"/>
            </w:tcBorders>
            <w:shd w:fill="1B2B4B" w:val="clear"/>
            <w:tcMar>
              <w:top w:type="dxa" w:w="100"/>
              <w:left w:type="dxa" w:w="80"/>
              <w:bottom w:type="dxa" w:w="100"/>
              <w:right w:type="dxa" w:w="80"/>
            </w:tcMar>
          </w:tcPr>
          <w:p>
            <w:r>
              <w:rPr>
                <w:rFonts w:ascii="Calibri" w:cs="Calibri" w:eastAsia="Calibri" w:hAnsi="Calibri"/>
                <w:b/>
                <w:bCs/>
                <w:color w:val="FFFFFF"/>
                <w:sz w:val="17"/>
                <w:szCs w:val="17"/>
              </w:rPr>
              <w:t xml:space="preserve">#</w:t>
            </w:r>
          </w:p>
        </w:tc>
        <w:tc>
          <w:tcPr>
            <w:tcW w:type="dxa" w:w="2720"/>
            <w:tcBorders>
              <w:top w:val="single" w:color="1B2B4B" w:sz="4"/>
              <w:left w:val="single" w:color="1B2B4B" w:sz="4"/>
              <w:bottom w:val="single" w:color="1B2B4B" w:sz="4"/>
              <w:right w:val="single" w:color="1B2B4B" w:sz="4"/>
            </w:tcBorders>
            <w:shd w:fill="1B2B4B" w:val="clear"/>
            <w:tcMar>
              <w:top w:type="dxa" w:w="100"/>
              <w:left w:type="dxa" w:w="80"/>
              <w:bottom w:type="dxa" w:w="100"/>
              <w:right w:type="dxa" w:w="80"/>
            </w:tcMar>
          </w:tcPr>
          <w:p>
            <w:r>
              <w:rPr>
                <w:rFonts w:ascii="Calibri" w:cs="Calibri" w:eastAsia="Calibri" w:hAnsi="Calibri"/>
                <w:b/>
                <w:bCs/>
                <w:color w:val="FFFFFF"/>
                <w:sz w:val="17"/>
                <w:szCs w:val="17"/>
              </w:rPr>
              <w:t xml:space="preserve">PRODUKT</w:t>
            </w:r>
          </w:p>
        </w:tc>
        <w:tc>
          <w:tcPr>
            <w:tcW w:type="dxa" w:w="1120"/>
            <w:tcBorders>
              <w:top w:val="single" w:color="1B2B4B" w:sz="4"/>
              <w:left w:val="single" w:color="1B2B4B" w:sz="4"/>
              <w:bottom w:val="single" w:color="1B2B4B" w:sz="4"/>
              <w:right w:val="single" w:color="1B2B4B" w:sz="4"/>
            </w:tcBorders>
            <w:shd w:fill="1B2B4B" w:val="clear"/>
            <w:tcMar>
              <w:top w:type="dxa" w:w="100"/>
              <w:left w:type="dxa" w:w="80"/>
              <w:bottom w:type="dxa" w:w="100"/>
              <w:right w:type="dxa" w:w="80"/>
            </w:tcMar>
          </w:tcPr>
          <w:p>
            <w:r>
              <w:rPr>
                <w:rFonts w:ascii="Calibri" w:cs="Calibri" w:eastAsia="Calibri" w:hAnsi="Calibri"/>
                <w:b/>
                <w:bCs/>
                <w:color w:val="FFFFFF"/>
                <w:sz w:val="17"/>
                <w:szCs w:val="17"/>
              </w:rPr>
              <w:t xml:space="preserve">ÅRSVOLYM</w:t>
            </w:r>
          </w:p>
        </w:tc>
        <w:tc>
          <w:tcPr>
            <w:tcW w:type="dxa" w:w="1120"/>
            <w:tcBorders>
              <w:top w:val="single" w:color="1B2B4B" w:sz="4"/>
              <w:left w:val="single" w:color="1B2B4B" w:sz="4"/>
              <w:bottom w:val="single" w:color="1B2B4B" w:sz="4"/>
              <w:right w:val="single" w:color="1B2B4B" w:sz="4"/>
            </w:tcBorders>
            <w:shd w:fill="1B2B4B" w:val="clear"/>
            <w:tcMar>
              <w:top w:type="dxa" w:w="100"/>
              <w:left w:type="dxa" w:w="80"/>
              <w:bottom w:type="dxa" w:w="100"/>
              <w:right w:type="dxa" w:w="80"/>
            </w:tcMar>
          </w:tcPr>
          <w:p>
            <w:r>
              <w:rPr>
                <w:rFonts w:ascii="Calibri" w:cs="Calibri" w:eastAsia="Calibri" w:hAnsi="Calibri"/>
                <w:b/>
                <w:bCs/>
                <w:color w:val="FFFFFF"/>
                <w:sz w:val="17"/>
                <w:szCs w:val="17"/>
              </w:rPr>
              <w:t xml:space="preserve">STYCKPRIS</w:t>
            </w:r>
          </w:p>
        </w:tc>
        <w:tc>
          <w:tcPr>
            <w:tcW w:type="dxa" w:w="1120"/>
            <w:tcBorders>
              <w:top w:val="single" w:color="1B2B4B" w:sz="4"/>
              <w:left w:val="single" w:color="1B2B4B" w:sz="4"/>
              <w:bottom w:val="single" w:color="1B2B4B" w:sz="4"/>
              <w:right w:val="single" w:color="1B2B4B" w:sz="4"/>
            </w:tcBorders>
            <w:shd w:fill="1B2B4B" w:val="clear"/>
            <w:tcMar>
              <w:top w:type="dxa" w:w="100"/>
              <w:left w:type="dxa" w:w="80"/>
              <w:bottom w:type="dxa" w:w="100"/>
              <w:right w:type="dxa" w:w="80"/>
            </w:tcMar>
          </w:tcPr>
          <w:p>
            <w:r>
              <w:rPr>
                <w:rFonts w:ascii="Calibri" w:cs="Calibri" w:eastAsia="Calibri" w:hAnsi="Calibri"/>
                <w:b/>
                <w:bCs/>
                <w:color w:val="FFFFFF"/>
                <w:sz w:val="17"/>
                <w:szCs w:val="17"/>
              </w:rPr>
              <w:t xml:space="preserve">+20 % VOL.</w:t>
            </w:r>
          </w:p>
        </w:tc>
        <w:tc>
          <w:tcPr>
            <w:tcW w:type="dxa" w:w="1120"/>
            <w:tcBorders>
              <w:top w:val="single" w:color="1B2B4B" w:sz="4"/>
              <w:left w:val="single" w:color="1B2B4B" w:sz="4"/>
              <w:bottom w:val="single" w:color="1B2B4B" w:sz="4"/>
              <w:right w:val="single" w:color="1B2B4B" w:sz="4"/>
            </w:tcBorders>
            <w:shd w:fill="1B2B4B" w:val="clear"/>
            <w:tcMar>
              <w:top w:type="dxa" w:w="100"/>
              <w:left w:type="dxa" w:w="80"/>
              <w:bottom w:type="dxa" w:w="100"/>
              <w:right w:type="dxa" w:w="80"/>
            </w:tcMar>
          </w:tcPr>
          <w:p>
            <w:r>
              <w:rPr>
                <w:rFonts w:ascii="Calibri" w:cs="Calibri" w:eastAsia="Calibri" w:hAnsi="Calibri"/>
                <w:b/>
                <w:bCs/>
                <w:color w:val="FFFFFF"/>
                <w:sz w:val="17"/>
                <w:szCs w:val="17"/>
              </w:rPr>
              <w:t xml:space="preserve">+50 % VOL.</w:t>
            </w:r>
          </w:p>
        </w:tc>
        <w:tc>
          <w:tcPr>
            <w:tcW w:type="dxa" w:w="1120"/>
            <w:tcBorders>
              <w:top w:val="single" w:color="1B2B4B" w:sz="4"/>
              <w:left w:val="single" w:color="1B2B4B" w:sz="4"/>
              <w:bottom w:val="single" w:color="1B2B4B" w:sz="4"/>
              <w:right w:val="single" w:color="1B2B4B" w:sz="4"/>
            </w:tcBorders>
            <w:shd w:fill="1B2B4B" w:val="clear"/>
            <w:tcMar>
              <w:top w:type="dxa" w:w="100"/>
              <w:left w:type="dxa" w:w="80"/>
              <w:bottom w:type="dxa" w:w="100"/>
              <w:right w:type="dxa" w:w="80"/>
            </w:tcMar>
          </w:tcPr>
          <w:p>
            <w:r>
              <w:rPr>
                <w:rFonts w:ascii="Calibri" w:cs="Calibri" w:eastAsia="Calibri" w:hAnsi="Calibri"/>
                <w:b/>
                <w:bCs/>
                <w:color w:val="FFFFFF"/>
                <w:sz w:val="17"/>
                <w:szCs w:val="17"/>
              </w:rPr>
              <w:t xml:space="preserve">LEDTID STD.</w:t>
            </w:r>
          </w:p>
        </w:tc>
        <w:tc>
          <w:tcPr>
            <w:tcW w:type="dxa" w:w="1120"/>
            <w:tcBorders>
              <w:top w:val="single" w:color="1B2B4B" w:sz="4"/>
              <w:left w:val="single" w:color="1B2B4B" w:sz="4"/>
              <w:bottom w:val="single" w:color="1B2B4B" w:sz="4"/>
              <w:right w:val="single" w:color="1B2B4B" w:sz="4"/>
            </w:tcBorders>
            <w:shd w:fill="1B2B4B" w:val="clear"/>
            <w:tcMar>
              <w:top w:type="dxa" w:w="100"/>
              <w:left w:type="dxa" w:w="80"/>
              <w:bottom w:type="dxa" w:w="100"/>
              <w:right w:type="dxa" w:w="80"/>
            </w:tcMar>
          </w:tcPr>
          <w:p>
            <w:r>
              <w:rPr>
                <w:rFonts w:ascii="Calibri" w:cs="Calibri" w:eastAsia="Calibri" w:hAnsi="Calibri"/>
                <w:b/>
                <w:bCs/>
                <w:color w:val="FFFFFF"/>
                <w:sz w:val="17"/>
                <w:szCs w:val="17"/>
              </w:rPr>
              <w:t xml:space="preserve">LEDTID EXP.</w:t>
            </w:r>
          </w:p>
        </w:tc>
        <w:tc>
          <w:tcPr>
            <w:tcW w:type="dxa" w:w="520"/>
            <w:tcBorders>
              <w:top w:val="single" w:color="1B2B4B" w:sz="4"/>
              <w:left w:val="single" w:color="1B2B4B" w:sz="4"/>
              <w:bottom w:val="single" w:color="1B2B4B" w:sz="4"/>
              <w:right w:val="single" w:color="1B2B4B" w:sz="4"/>
            </w:tcBorders>
            <w:shd w:fill="1B2B4B" w:val="clear"/>
            <w:tcMar>
              <w:top w:type="dxa" w:w="100"/>
              <w:left w:type="dxa" w:w="80"/>
              <w:bottom w:type="dxa" w:w="100"/>
              <w:right w:type="dxa" w:w="80"/>
            </w:tcMar>
          </w:tcPr>
          <w:p>
            <w:r>
              <w:rPr>
                <w:rFonts w:ascii="Calibri" w:cs="Calibri" w:eastAsia="Calibri" w:hAnsi="Calibri"/>
                <w:b/>
                <w:bCs/>
                <w:color w:val="FFFFFF"/>
                <w:sz w:val="17"/>
                <w:szCs w:val="17"/>
              </w:rPr>
              <w:t xml:space="preserve">MOQ</w:t>
            </w:r>
          </w:p>
        </w:tc>
      </w:tr>
      <w:tr>
        <w:tc>
          <w:tcPr>
            <w:tcW w:type="dxa" w:w="320"/>
            <w:tcBorders>
              <w:top w:val="single" w:color="E2E8F0" w:sz="4"/>
              <w:left w:val="single" w:color="E2E8F0" w:sz="4"/>
              <w:bottom w:val="single" w:color="E2E8F0" w:sz="4"/>
              <w:right w:val="single" w:color="E2E8F0" w:sz="4"/>
            </w:tcBorders>
            <w:shd w:fill="F8FAFC" w:val="clear"/>
            <w:tcMar>
              <w:top w:type="dxa" w:w="100"/>
              <w:left w:type="dxa" w:w="80"/>
              <w:bottom w:type="dxa" w:w="100"/>
              <w:right w:type="dxa" w:w="80"/>
            </w:tcMar>
          </w:tcPr>
          <w:p>
            <w:r>
              <w:rPr>
                <w:rFonts w:ascii="Calibri" w:cs="Calibri" w:eastAsia="Calibri" w:hAnsi="Calibri"/>
                <w:b/>
                <w:bCs/>
                <w:color w:val="475569"/>
                <w:sz w:val="18"/>
                <w:szCs w:val="18"/>
              </w:rPr>
              <w:t xml:space="preserve">1</w:t>
            </w:r>
          </w:p>
        </w:tc>
        <w:tc>
          <w:tcPr>
            <w:tcW w:type="dxa" w:w="2720"/>
            <w:tcBorders>
              <w:top w:val="single" w:color="E2E8F0" w:sz="4"/>
              <w:left w:val="single" w:color="E2E8F0" w:sz="4"/>
              <w:bottom w:val="single" w:color="E2E8F0" w:sz="4"/>
              <w:right w:val="single" w:color="E2E8F0" w:sz="4"/>
            </w:tcBorders>
            <w:shd w:fill="F8FAFC" w:val="clear"/>
            <w:tcMar>
              <w:top w:type="dxa" w:w="100"/>
              <w:left w:type="dxa" w:w="80"/>
              <w:bottom w:type="dxa" w:w="100"/>
              <w:right w:type="dxa" w:w="80"/>
            </w:tcMar>
          </w:tcPr>
          <w:p>
            <w:r>
              <w:rPr>
                <w:rFonts w:ascii="Calibri" w:cs="Calibri" w:eastAsia="Calibri" w:hAnsi="Calibri"/>
                <w:b w:val="false"/>
                <w:bCs w:val="false"/>
                <w:color w:val="475569"/>
                <w:sz w:val="18"/>
                <w:szCs w:val="18"/>
              </w:rPr>
              <w:t xml:space="preserve">BiB-kart. 3L enk.korrugerad, 4f CMYK</w:t>
            </w:r>
          </w:p>
        </w:tc>
        <w:tc>
          <w:tcPr>
            <w:tcW w:type="dxa" w:w="1120"/>
            <w:tcBorders>
              <w:top w:val="single" w:color="E2E8F0" w:sz="4"/>
              <w:left w:val="single" w:color="E2E8F0" w:sz="4"/>
              <w:bottom w:val="single" w:color="E2E8F0" w:sz="4"/>
              <w:right w:val="single" w:color="E2E8F0" w:sz="4"/>
            </w:tcBorders>
            <w:shd w:fill="F8FAFC" w:val="clear"/>
            <w:tcMar>
              <w:top w:type="dxa" w:w="100"/>
              <w:left w:type="dxa" w:w="80"/>
              <w:bottom w:type="dxa" w:w="100"/>
              <w:right w:type="dxa" w:w="80"/>
            </w:tcMar>
          </w:tcPr>
          <w:p>
            <w:r>
              <w:rPr>
                <w:rFonts w:ascii="Calibri" w:cs="Calibri" w:eastAsia="Calibri" w:hAnsi="Calibri"/>
                <w:b w:val="false"/>
                <w:bCs w:val="false"/>
                <w:color w:val="475569"/>
                <w:sz w:val="18"/>
                <w:szCs w:val="18"/>
              </w:rPr>
              <w:t xml:space="preserve">120 000 st</w:t>
            </w:r>
          </w:p>
        </w:tc>
        <w:tc>
          <w:tcPr>
            <w:tcW w:type="dxa" w:w="1120"/>
            <w:tcBorders>
              <w:top w:val="single" w:color="E2E8F0" w:sz="4"/>
              <w:left w:val="single" w:color="E2E8F0" w:sz="4"/>
              <w:bottom w:val="single" w:color="E2E8F0" w:sz="4"/>
              <w:right w:val="single" w:color="E2E8F0" w:sz="4"/>
            </w:tcBorders>
            <w:shd w:fill="F8FAFC" w:val="clear"/>
            <w:tcMar>
              <w:top w:type="dxa" w:w="100"/>
              <w:left w:type="dxa" w:w="80"/>
              <w:bottom w:type="dxa" w:w="100"/>
              <w:right w:type="dxa" w:w="80"/>
            </w:tcMar>
          </w:tcPr>
          <w:p>
            <w:r>
              <w:rPr>
                <w:rFonts w:ascii="Calibri" w:cs="Calibri" w:eastAsia="Calibri" w:hAnsi="Calibri"/>
                <w:b/>
                <w:bCs/>
                <w:color w:val="1B2B4B"/>
                <w:sz w:val="18"/>
                <w:szCs w:val="18"/>
              </w:rPr>
              <w:t xml:space="preserve">2,85 kr</w:t>
            </w:r>
          </w:p>
        </w:tc>
        <w:tc>
          <w:tcPr>
            <w:tcW w:type="dxa" w:w="1120"/>
            <w:tcBorders>
              <w:top w:val="single" w:color="E2E8F0" w:sz="4"/>
              <w:left w:val="single" w:color="E2E8F0" w:sz="4"/>
              <w:bottom w:val="single" w:color="E2E8F0" w:sz="4"/>
              <w:right w:val="single" w:color="E2E8F0" w:sz="4"/>
            </w:tcBorders>
            <w:shd w:fill="F8FAFC" w:val="clear"/>
            <w:tcMar>
              <w:top w:type="dxa" w:w="100"/>
              <w:left w:type="dxa" w:w="80"/>
              <w:bottom w:type="dxa" w:w="100"/>
              <w:right w:type="dxa" w:w="80"/>
            </w:tcMar>
          </w:tcPr>
          <w:p>
            <w:r>
              <w:rPr>
                <w:rFonts w:ascii="Calibri" w:cs="Calibri" w:eastAsia="Calibri" w:hAnsi="Calibri"/>
                <w:b w:val="false"/>
                <w:bCs w:val="false"/>
                <w:color w:val="0891B2"/>
                <w:sz w:val="18"/>
                <w:szCs w:val="18"/>
              </w:rPr>
              <w:t xml:space="preserve">2,60 kr</w:t>
            </w:r>
          </w:p>
        </w:tc>
        <w:tc>
          <w:tcPr>
            <w:tcW w:type="dxa" w:w="1120"/>
            <w:tcBorders>
              <w:top w:val="single" w:color="E2E8F0" w:sz="4"/>
              <w:left w:val="single" w:color="E2E8F0" w:sz="4"/>
              <w:bottom w:val="single" w:color="E2E8F0" w:sz="4"/>
              <w:right w:val="single" w:color="E2E8F0" w:sz="4"/>
            </w:tcBorders>
            <w:shd w:fill="F8FAFC" w:val="clear"/>
            <w:tcMar>
              <w:top w:type="dxa" w:w="100"/>
              <w:left w:type="dxa" w:w="80"/>
              <w:bottom w:type="dxa" w:w="100"/>
              <w:right w:type="dxa" w:w="80"/>
            </w:tcMar>
          </w:tcPr>
          <w:p>
            <w:r>
              <w:rPr>
                <w:rFonts w:ascii="Calibri" w:cs="Calibri" w:eastAsia="Calibri" w:hAnsi="Calibri"/>
                <w:b w:val="false"/>
                <w:bCs w:val="false"/>
                <w:color w:val="0891B2"/>
                <w:sz w:val="18"/>
                <w:szCs w:val="18"/>
              </w:rPr>
              <w:t xml:space="preserve">2,35 kr</w:t>
            </w:r>
          </w:p>
        </w:tc>
        <w:tc>
          <w:tcPr>
            <w:tcW w:type="dxa" w:w="1120"/>
            <w:tcBorders>
              <w:top w:val="single" w:color="E2E8F0" w:sz="4"/>
              <w:left w:val="single" w:color="E2E8F0" w:sz="4"/>
              <w:bottom w:val="single" w:color="E2E8F0" w:sz="4"/>
              <w:right w:val="single" w:color="E2E8F0" w:sz="4"/>
            </w:tcBorders>
            <w:shd w:fill="F8FAFC" w:val="clear"/>
            <w:tcMar>
              <w:top w:type="dxa" w:w="100"/>
              <w:left w:type="dxa" w:w="80"/>
              <w:bottom w:type="dxa" w:w="100"/>
              <w:right w:type="dxa" w:w="80"/>
            </w:tcMar>
          </w:tcPr>
          <w:p>
            <w:r>
              <w:rPr>
                <w:rFonts w:ascii="Calibri" w:cs="Calibri" w:eastAsia="Calibri" w:hAnsi="Calibri"/>
                <w:b w:val="false"/>
                <w:bCs w:val="false"/>
                <w:color w:val="475569"/>
                <w:sz w:val="18"/>
                <w:szCs w:val="18"/>
              </w:rPr>
              <w:t xml:space="preserve">12 dgr</w:t>
            </w:r>
          </w:p>
        </w:tc>
        <w:tc>
          <w:tcPr>
            <w:tcW w:type="dxa" w:w="1120"/>
            <w:tcBorders>
              <w:top w:val="single" w:color="E2E8F0" w:sz="4"/>
              <w:left w:val="single" w:color="E2E8F0" w:sz="4"/>
              <w:bottom w:val="single" w:color="E2E8F0" w:sz="4"/>
              <w:right w:val="single" w:color="E2E8F0" w:sz="4"/>
            </w:tcBorders>
            <w:shd w:fill="F8FAFC" w:val="clear"/>
            <w:tcMar>
              <w:top w:type="dxa" w:w="100"/>
              <w:left w:type="dxa" w:w="80"/>
              <w:bottom w:type="dxa" w:w="100"/>
              <w:right w:type="dxa" w:w="80"/>
            </w:tcMar>
          </w:tcPr>
          <w:p>
            <w:r>
              <w:rPr>
                <w:rFonts w:ascii="Calibri" w:cs="Calibri" w:eastAsia="Calibri" w:hAnsi="Calibri"/>
                <w:b w:val="false"/>
                <w:bCs w:val="false"/>
                <w:color w:val="475569"/>
                <w:sz w:val="18"/>
                <w:szCs w:val="18"/>
              </w:rPr>
              <w:t xml:space="preserve">5 dgr</w:t>
            </w:r>
          </w:p>
        </w:tc>
        <w:tc>
          <w:tcPr>
            <w:tcW w:type="dxa" w:w="520"/>
            <w:tcBorders>
              <w:top w:val="single" w:color="E2E8F0" w:sz="4"/>
              <w:left w:val="single" w:color="E2E8F0" w:sz="4"/>
              <w:bottom w:val="single" w:color="E2E8F0" w:sz="4"/>
              <w:right w:val="single" w:color="E2E8F0" w:sz="4"/>
            </w:tcBorders>
            <w:shd w:fill="F8FAFC" w:val="clear"/>
            <w:tcMar>
              <w:top w:type="dxa" w:w="100"/>
              <w:left w:type="dxa" w:w="80"/>
              <w:bottom w:type="dxa" w:w="100"/>
              <w:right w:type="dxa" w:w="80"/>
            </w:tcMar>
          </w:tcPr>
          <w:p>
            <w:r>
              <w:rPr>
                <w:rFonts w:ascii="Calibri" w:cs="Calibri" w:eastAsia="Calibri" w:hAnsi="Calibri"/>
                <w:b w:val="false"/>
                <w:bCs w:val="false"/>
                <w:color w:val="475569"/>
                <w:sz w:val="18"/>
                <w:szCs w:val="18"/>
              </w:rPr>
              <w:t xml:space="preserve">5 000</w:t>
            </w:r>
          </w:p>
        </w:tc>
      </w:tr>
      <w:tr>
        <w:tc>
          <w:tcPr>
            <w:tcW w:type="dxa" w:w="320"/>
            <w:tcBorders>
              <w:top w:val="single" w:color="E2E8F0" w:sz="4"/>
              <w:left w:val="single" w:color="E2E8F0" w:sz="4"/>
              <w:bottom w:val="single" w:color="E2E8F0" w:sz="4"/>
              <w:right w:val="single" w:color="E2E8F0" w:sz="4"/>
            </w:tcBorders>
            <w:shd w:fill="FFFFFF" w:val="clear"/>
            <w:tcMar>
              <w:top w:type="dxa" w:w="100"/>
              <w:left w:type="dxa" w:w="80"/>
              <w:bottom w:type="dxa" w:w="100"/>
              <w:right w:type="dxa" w:w="80"/>
            </w:tcMar>
          </w:tcPr>
          <w:p>
            <w:r>
              <w:rPr>
                <w:rFonts w:ascii="Calibri" w:cs="Calibri" w:eastAsia="Calibri" w:hAnsi="Calibri"/>
                <w:b/>
                <w:bCs/>
                <w:color w:val="475569"/>
                <w:sz w:val="18"/>
                <w:szCs w:val="18"/>
              </w:rPr>
              <w:t xml:space="preserve">2</w:t>
            </w:r>
          </w:p>
        </w:tc>
        <w:tc>
          <w:tcPr>
            <w:tcW w:type="dxa" w:w="2720"/>
            <w:tcBorders>
              <w:top w:val="single" w:color="E2E8F0" w:sz="4"/>
              <w:left w:val="single" w:color="E2E8F0" w:sz="4"/>
              <w:bottom w:val="single" w:color="E2E8F0" w:sz="4"/>
              <w:right w:val="single" w:color="E2E8F0" w:sz="4"/>
            </w:tcBorders>
            <w:shd w:fill="FFFFFF" w:val="clear"/>
            <w:tcMar>
              <w:top w:type="dxa" w:w="100"/>
              <w:left w:type="dxa" w:w="80"/>
              <w:bottom w:type="dxa" w:w="100"/>
              <w:right w:type="dxa" w:w="80"/>
            </w:tcMar>
          </w:tcPr>
          <w:p>
            <w:r>
              <w:rPr>
                <w:rFonts w:ascii="Calibri" w:cs="Calibri" w:eastAsia="Calibri" w:hAnsi="Calibri"/>
                <w:b w:val="false"/>
                <w:bCs w:val="false"/>
                <w:color w:val="475569"/>
                <w:sz w:val="18"/>
                <w:szCs w:val="18"/>
              </w:rPr>
              <w:t xml:space="preserve">BiB-kart. 5L enk.korrugerad, 4f CMYK</w:t>
            </w:r>
          </w:p>
        </w:tc>
        <w:tc>
          <w:tcPr>
            <w:tcW w:type="dxa" w:w="1120"/>
            <w:tcBorders>
              <w:top w:val="single" w:color="E2E8F0" w:sz="4"/>
              <w:left w:val="single" w:color="E2E8F0" w:sz="4"/>
              <w:bottom w:val="single" w:color="E2E8F0" w:sz="4"/>
              <w:right w:val="single" w:color="E2E8F0" w:sz="4"/>
            </w:tcBorders>
            <w:shd w:fill="FFFFFF" w:val="clear"/>
            <w:tcMar>
              <w:top w:type="dxa" w:w="100"/>
              <w:left w:type="dxa" w:w="80"/>
              <w:bottom w:type="dxa" w:w="100"/>
              <w:right w:type="dxa" w:w="80"/>
            </w:tcMar>
          </w:tcPr>
          <w:p>
            <w:r>
              <w:rPr>
                <w:rFonts w:ascii="Calibri" w:cs="Calibri" w:eastAsia="Calibri" w:hAnsi="Calibri"/>
                <w:b w:val="false"/>
                <w:bCs w:val="false"/>
                <w:color w:val="475569"/>
                <w:sz w:val="18"/>
                <w:szCs w:val="18"/>
              </w:rPr>
              <w:t xml:space="preserve">85 000 st</w:t>
            </w:r>
          </w:p>
        </w:tc>
        <w:tc>
          <w:tcPr>
            <w:tcW w:type="dxa" w:w="1120"/>
            <w:tcBorders>
              <w:top w:val="single" w:color="E2E8F0" w:sz="4"/>
              <w:left w:val="single" w:color="E2E8F0" w:sz="4"/>
              <w:bottom w:val="single" w:color="E2E8F0" w:sz="4"/>
              <w:right w:val="single" w:color="E2E8F0" w:sz="4"/>
            </w:tcBorders>
            <w:shd w:fill="FFFFFF" w:val="clear"/>
            <w:tcMar>
              <w:top w:type="dxa" w:w="100"/>
              <w:left w:type="dxa" w:w="80"/>
              <w:bottom w:type="dxa" w:w="100"/>
              <w:right w:type="dxa" w:w="80"/>
            </w:tcMar>
          </w:tcPr>
          <w:p>
            <w:r>
              <w:rPr>
                <w:rFonts w:ascii="Calibri" w:cs="Calibri" w:eastAsia="Calibri" w:hAnsi="Calibri"/>
                <w:b/>
                <w:bCs/>
                <w:color w:val="1B2B4B"/>
                <w:sz w:val="18"/>
                <w:szCs w:val="18"/>
              </w:rPr>
              <w:t xml:space="preserve">3,45 kr</w:t>
            </w:r>
          </w:p>
        </w:tc>
        <w:tc>
          <w:tcPr>
            <w:tcW w:type="dxa" w:w="1120"/>
            <w:tcBorders>
              <w:top w:val="single" w:color="E2E8F0" w:sz="4"/>
              <w:left w:val="single" w:color="E2E8F0" w:sz="4"/>
              <w:bottom w:val="single" w:color="E2E8F0" w:sz="4"/>
              <w:right w:val="single" w:color="E2E8F0" w:sz="4"/>
            </w:tcBorders>
            <w:shd w:fill="FFFFFF" w:val="clear"/>
            <w:tcMar>
              <w:top w:type="dxa" w:w="100"/>
              <w:left w:type="dxa" w:w="80"/>
              <w:bottom w:type="dxa" w:w="100"/>
              <w:right w:type="dxa" w:w="80"/>
            </w:tcMar>
          </w:tcPr>
          <w:p>
            <w:r>
              <w:rPr>
                <w:rFonts w:ascii="Calibri" w:cs="Calibri" w:eastAsia="Calibri" w:hAnsi="Calibri"/>
                <w:b w:val="false"/>
                <w:bCs w:val="false"/>
                <w:color w:val="0891B2"/>
                <w:sz w:val="18"/>
                <w:szCs w:val="18"/>
              </w:rPr>
              <w:t xml:space="preserve">3,15 kr</w:t>
            </w:r>
          </w:p>
        </w:tc>
        <w:tc>
          <w:tcPr>
            <w:tcW w:type="dxa" w:w="1120"/>
            <w:tcBorders>
              <w:top w:val="single" w:color="E2E8F0" w:sz="4"/>
              <w:left w:val="single" w:color="E2E8F0" w:sz="4"/>
              <w:bottom w:val="single" w:color="E2E8F0" w:sz="4"/>
              <w:right w:val="single" w:color="E2E8F0" w:sz="4"/>
            </w:tcBorders>
            <w:shd w:fill="FFFFFF" w:val="clear"/>
            <w:tcMar>
              <w:top w:type="dxa" w:w="100"/>
              <w:left w:type="dxa" w:w="80"/>
              <w:bottom w:type="dxa" w:w="100"/>
              <w:right w:type="dxa" w:w="80"/>
            </w:tcMar>
          </w:tcPr>
          <w:p>
            <w:r>
              <w:rPr>
                <w:rFonts w:ascii="Calibri" w:cs="Calibri" w:eastAsia="Calibri" w:hAnsi="Calibri"/>
                <w:b w:val="false"/>
                <w:bCs w:val="false"/>
                <w:color w:val="0891B2"/>
                <w:sz w:val="18"/>
                <w:szCs w:val="18"/>
              </w:rPr>
              <w:t xml:space="preserve">2,85 kr</w:t>
            </w:r>
          </w:p>
        </w:tc>
        <w:tc>
          <w:tcPr>
            <w:tcW w:type="dxa" w:w="1120"/>
            <w:tcBorders>
              <w:top w:val="single" w:color="E2E8F0" w:sz="4"/>
              <w:left w:val="single" w:color="E2E8F0" w:sz="4"/>
              <w:bottom w:val="single" w:color="E2E8F0" w:sz="4"/>
              <w:right w:val="single" w:color="E2E8F0" w:sz="4"/>
            </w:tcBorders>
            <w:shd w:fill="FFFFFF" w:val="clear"/>
            <w:tcMar>
              <w:top w:type="dxa" w:w="100"/>
              <w:left w:type="dxa" w:w="80"/>
              <w:bottom w:type="dxa" w:w="100"/>
              <w:right w:type="dxa" w:w="80"/>
            </w:tcMar>
          </w:tcPr>
          <w:p>
            <w:r>
              <w:rPr>
                <w:rFonts w:ascii="Calibri" w:cs="Calibri" w:eastAsia="Calibri" w:hAnsi="Calibri"/>
                <w:b w:val="false"/>
                <w:bCs w:val="false"/>
                <w:color w:val="475569"/>
                <w:sz w:val="18"/>
                <w:szCs w:val="18"/>
              </w:rPr>
              <w:t xml:space="preserve">12 dgr</w:t>
            </w:r>
          </w:p>
        </w:tc>
        <w:tc>
          <w:tcPr>
            <w:tcW w:type="dxa" w:w="1120"/>
            <w:tcBorders>
              <w:top w:val="single" w:color="E2E8F0" w:sz="4"/>
              <w:left w:val="single" w:color="E2E8F0" w:sz="4"/>
              <w:bottom w:val="single" w:color="E2E8F0" w:sz="4"/>
              <w:right w:val="single" w:color="E2E8F0" w:sz="4"/>
            </w:tcBorders>
            <w:shd w:fill="FFFFFF" w:val="clear"/>
            <w:tcMar>
              <w:top w:type="dxa" w:w="100"/>
              <w:left w:type="dxa" w:w="80"/>
              <w:bottom w:type="dxa" w:w="100"/>
              <w:right w:type="dxa" w:w="80"/>
            </w:tcMar>
          </w:tcPr>
          <w:p>
            <w:r>
              <w:rPr>
                <w:rFonts w:ascii="Calibri" w:cs="Calibri" w:eastAsia="Calibri" w:hAnsi="Calibri"/>
                <w:b w:val="false"/>
                <w:bCs w:val="false"/>
                <w:color w:val="475569"/>
                <w:sz w:val="18"/>
                <w:szCs w:val="18"/>
              </w:rPr>
              <w:t xml:space="preserve">5 dgr</w:t>
            </w:r>
          </w:p>
        </w:tc>
        <w:tc>
          <w:tcPr>
            <w:tcW w:type="dxa" w:w="520"/>
            <w:tcBorders>
              <w:top w:val="single" w:color="E2E8F0" w:sz="4"/>
              <w:left w:val="single" w:color="E2E8F0" w:sz="4"/>
              <w:bottom w:val="single" w:color="E2E8F0" w:sz="4"/>
              <w:right w:val="single" w:color="E2E8F0" w:sz="4"/>
            </w:tcBorders>
            <w:shd w:fill="FFFFFF" w:val="clear"/>
            <w:tcMar>
              <w:top w:type="dxa" w:w="100"/>
              <w:left w:type="dxa" w:w="80"/>
              <w:bottom w:type="dxa" w:w="100"/>
              <w:right w:type="dxa" w:w="80"/>
            </w:tcMar>
          </w:tcPr>
          <w:p>
            <w:r>
              <w:rPr>
                <w:rFonts w:ascii="Calibri" w:cs="Calibri" w:eastAsia="Calibri" w:hAnsi="Calibri"/>
                <w:b w:val="false"/>
                <w:bCs w:val="false"/>
                <w:color w:val="475569"/>
                <w:sz w:val="18"/>
                <w:szCs w:val="18"/>
              </w:rPr>
              <w:t xml:space="preserve">5 000</w:t>
            </w:r>
          </w:p>
        </w:tc>
      </w:tr>
      <w:tr>
        <w:tc>
          <w:tcPr>
            <w:tcW w:type="dxa" w:w="320"/>
            <w:tcBorders>
              <w:top w:val="single" w:color="E2E8F0" w:sz="4"/>
              <w:left w:val="single" w:color="E2E8F0" w:sz="4"/>
              <w:bottom w:val="single" w:color="E2E8F0" w:sz="4"/>
              <w:right w:val="single" w:color="E2E8F0" w:sz="4"/>
            </w:tcBorders>
            <w:shd w:fill="F8FAFC" w:val="clear"/>
            <w:tcMar>
              <w:top w:type="dxa" w:w="100"/>
              <w:left w:type="dxa" w:w="80"/>
              <w:bottom w:type="dxa" w:w="100"/>
              <w:right w:type="dxa" w:w="80"/>
            </w:tcMar>
          </w:tcPr>
          <w:p>
            <w:r>
              <w:rPr>
                <w:rFonts w:ascii="Calibri" w:cs="Calibri" w:eastAsia="Calibri" w:hAnsi="Calibri"/>
                <w:b/>
                <w:bCs/>
                <w:color w:val="475569"/>
                <w:sz w:val="18"/>
                <w:szCs w:val="18"/>
              </w:rPr>
              <w:t xml:space="preserve">3</w:t>
            </w:r>
          </w:p>
        </w:tc>
        <w:tc>
          <w:tcPr>
            <w:tcW w:type="dxa" w:w="2720"/>
            <w:tcBorders>
              <w:top w:val="single" w:color="E2E8F0" w:sz="4"/>
              <w:left w:val="single" w:color="E2E8F0" w:sz="4"/>
              <w:bottom w:val="single" w:color="E2E8F0" w:sz="4"/>
              <w:right w:val="single" w:color="E2E8F0" w:sz="4"/>
            </w:tcBorders>
            <w:shd w:fill="F8FAFC" w:val="clear"/>
            <w:tcMar>
              <w:top w:type="dxa" w:w="100"/>
              <w:left w:type="dxa" w:w="80"/>
              <w:bottom w:type="dxa" w:w="100"/>
              <w:right w:type="dxa" w:w="80"/>
            </w:tcMar>
          </w:tcPr>
          <w:p>
            <w:r>
              <w:rPr>
                <w:rFonts w:ascii="Calibri" w:cs="Calibri" w:eastAsia="Calibri" w:hAnsi="Calibri"/>
                <w:b w:val="false"/>
                <w:bCs w:val="false"/>
                <w:color w:val="475569"/>
                <w:sz w:val="18"/>
                <w:szCs w:val="18"/>
              </w:rPr>
              <w:t xml:space="preserve">BiB-kart. 10L dub.korrugerad, 2f</w:t>
            </w:r>
          </w:p>
        </w:tc>
        <w:tc>
          <w:tcPr>
            <w:tcW w:type="dxa" w:w="1120"/>
            <w:tcBorders>
              <w:top w:val="single" w:color="E2E8F0" w:sz="4"/>
              <w:left w:val="single" w:color="E2E8F0" w:sz="4"/>
              <w:bottom w:val="single" w:color="E2E8F0" w:sz="4"/>
              <w:right w:val="single" w:color="E2E8F0" w:sz="4"/>
            </w:tcBorders>
            <w:shd w:fill="F8FAFC" w:val="clear"/>
            <w:tcMar>
              <w:top w:type="dxa" w:w="100"/>
              <w:left w:type="dxa" w:w="80"/>
              <w:bottom w:type="dxa" w:w="100"/>
              <w:right w:type="dxa" w:w="80"/>
            </w:tcMar>
          </w:tcPr>
          <w:p>
            <w:r>
              <w:rPr>
                <w:rFonts w:ascii="Calibri" w:cs="Calibri" w:eastAsia="Calibri" w:hAnsi="Calibri"/>
                <w:b w:val="false"/>
                <w:bCs w:val="false"/>
                <w:color w:val="475569"/>
                <w:sz w:val="18"/>
                <w:szCs w:val="18"/>
              </w:rPr>
              <w:t xml:space="preserve">40 000 st</w:t>
            </w:r>
          </w:p>
        </w:tc>
        <w:tc>
          <w:tcPr>
            <w:tcW w:type="dxa" w:w="1120"/>
            <w:tcBorders>
              <w:top w:val="single" w:color="E2E8F0" w:sz="4"/>
              <w:left w:val="single" w:color="E2E8F0" w:sz="4"/>
              <w:bottom w:val="single" w:color="E2E8F0" w:sz="4"/>
              <w:right w:val="single" w:color="E2E8F0" w:sz="4"/>
            </w:tcBorders>
            <w:shd w:fill="F8FAFC" w:val="clear"/>
            <w:tcMar>
              <w:top w:type="dxa" w:w="100"/>
              <w:left w:type="dxa" w:w="80"/>
              <w:bottom w:type="dxa" w:w="100"/>
              <w:right w:type="dxa" w:w="80"/>
            </w:tcMar>
          </w:tcPr>
          <w:p>
            <w:r>
              <w:rPr>
                <w:rFonts w:ascii="Calibri" w:cs="Calibri" w:eastAsia="Calibri" w:hAnsi="Calibri"/>
                <w:b/>
                <w:bCs/>
                <w:color w:val="1B2B4B"/>
                <w:sz w:val="18"/>
                <w:szCs w:val="18"/>
              </w:rPr>
              <w:t xml:space="preserve">4,90 kr</w:t>
            </w:r>
          </w:p>
        </w:tc>
        <w:tc>
          <w:tcPr>
            <w:tcW w:type="dxa" w:w="1120"/>
            <w:tcBorders>
              <w:top w:val="single" w:color="E2E8F0" w:sz="4"/>
              <w:left w:val="single" w:color="E2E8F0" w:sz="4"/>
              <w:bottom w:val="single" w:color="E2E8F0" w:sz="4"/>
              <w:right w:val="single" w:color="E2E8F0" w:sz="4"/>
            </w:tcBorders>
            <w:shd w:fill="F8FAFC" w:val="clear"/>
            <w:tcMar>
              <w:top w:type="dxa" w:w="100"/>
              <w:left w:type="dxa" w:w="80"/>
              <w:bottom w:type="dxa" w:w="100"/>
              <w:right w:type="dxa" w:w="80"/>
            </w:tcMar>
          </w:tcPr>
          <w:p>
            <w:r>
              <w:rPr>
                <w:rFonts w:ascii="Calibri" w:cs="Calibri" w:eastAsia="Calibri" w:hAnsi="Calibri"/>
                <w:b w:val="false"/>
                <w:bCs w:val="false"/>
                <w:color w:val="0891B2"/>
                <w:sz w:val="18"/>
                <w:szCs w:val="18"/>
              </w:rPr>
              <w:t xml:space="preserve">4,50 kr</w:t>
            </w:r>
          </w:p>
        </w:tc>
        <w:tc>
          <w:tcPr>
            <w:tcW w:type="dxa" w:w="1120"/>
            <w:tcBorders>
              <w:top w:val="single" w:color="E2E8F0" w:sz="4"/>
              <w:left w:val="single" w:color="E2E8F0" w:sz="4"/>
              <w:bottom w:val="single" w:color="E2E8F0" w:sz="4"/>
              <w:right w:val="single" w:color="E2E8F0" w:sz="4"/>
            </w:tcBorders>
            <w:shd w:fill="F8FAFC" w:val="clear"/>
            <w:tcMar>
              <w:top w:type="dxa" w:w="100"/>
              <w:left w:type="dxa" w:w="80"/>
              <w:bottom w:type="dxa" w:w="100"/>
              <w:right w:type="dxa" w:w="80"/>
            </w:tcMar>
          </w:tcPr>
          <w:p>
            <w:r>
              <w:rPr>
                <w:rFonts w:ascii="Calibri" w:cs="Calibri" w:eastAsia="Calibri" w:hAnsi="Calibri"/>
                <w:b w:val="false"/>
                <w:bCs w:val="false"/>
                <w:color w:val="0891B2"/>
                <w:sz w:val="18"/>
                <w:szCs w:val="18"/>
              </w:rPr>
              <w:t xml:space="preserve">4,10 kr</w:t>
            </w:r>
          </w:p>
        </w:tc>
        <w:tc>
          <w:tcPr>
            <w:tcW w:type="dxa" w:w="1120"/>
            <w:tcBorders>
              <w:top w:val="single" w:color="E2E8F0" w:sz="4"/>
              <w:left w:val="single" w:color="E2E8F0" w:sz="4"/>
              <w:bottom w:val="single" w:color="E2E8F0" w:sz="4"/>
              <w:right w:val="single" w:color="E2E8F0" w:sz="4"/>
            </w:tcBorders>
            <w:shd w:fill="F8FAFC" w:val="clear"/>
            <w:tcMar>
              <w:top w:type="dxa" w:w="100"/>
              <w:left w:type="dxa" w:w="80"/>
              <w:bottom w:type="dxa" w:w="100"/>
              <w:right w:type="dxa" w:w="80"/>
            </w:tcMar>
          </w:tcPr>
          <w:p>
            <w:r>
              <w:rPr>
                <w:rFonts w:ascii="Calibri" w:cs="Calibri" w:eastAsia="Calibri" w:hAnsi="Calibri"/>
                <w:b w:val="false"/>
                <w:bCs w:val="false"/>
                <w:color w:val="475569"/>
                <w:sz w:val="18"/>
                <w:szCs w:val="18"/>
              </w:rPr>
              <w:t xml:space="preserve">14 dgr</w:t>
            </w:r>
          </w:p>
        </w:tc>
        <w:tc>
          <w:tcPr>
            <w:tcW w:type="dxa" w:w="1120"/>
            <w:tcBorders>
              <w:top w:val="single" w:color="E2E8F0" w:sz="4"/>
              <w:left w:val="single" w:color="E2E8F0" w:sz="4"/>
              <w:bottom w:val="single" w:color="E2E8F0" w:sz="4"/>
              <w:right w:val="single" w:color="E2E8F0" w:sz="4"/>
            </w:tcBorders>
            <w:shd w:fill="F8FAFC" w:val="clear"/>
            <w:tcMar>
              <w:top w:type="dxa" w:w="100"/>
              <w:left w:type="dxa" w:w="80"/>
              <w:bottom w:type="dxa" w:w="100"/>
              <w:right w:type="dxa" w:w="80"/>
            </w:tcMar>
          </w:tcPr>
          <w:p>
            <w:r>
              <w:rPr>
                <w:rFonts w:ascii="Calibri" w:cs="Calibri" w:eastAsia="Calibri" w:hAnsi="Calibri"/>
                <w:b w:val="false"/>
                <w:bCs w:val="false"/>
                <w:color w:val="475569"/>
                <w:sz w:val="18"/>
                <w:szCs w:val="18"/>
              </w:rPr>
              <w:t xml:space="preserve">6 dgr</w:t>
            </w:r>
          </w:p>
        </w:tc>
        <w:tc>
          <w:tcPr>
            <w:tcW w:type="dxa" w:w="520"/>
            <w:tcBorders>
              <w:top w:val="single" w:color="E2E8F0" w:sz="4"/>
              <w:left w:val="single" w:color="E2E8F0" w:sz="4"/>
              <w:bottom w:val="single" w:color="E2E8F0" w:sz="4"/>
              <w:right w:val="single" w:color="E2E8F0" w:sz="4"/>
            </w:tcBorders>
            <w:shd w:fill="F8FAFC" w:val="clear"/>
            <w:tcMar>
              <w:top w:type="dxa" w:w="100"/>
              <w:left w:type="dxa" w:w="80"/>
              <w:bottom w:type="dxa" w:w="100"/>
              <w:right w:type="dxa" w:w="80"/>
            </w:tcMar>
          </w:tcPr>
          <w:p>
            <w:r>
              <w:rPr>
                <w:rFonts w:ascii="Calibri" w:cs="Calibri" w:eastAsia="Calibri" w:hAnsi="Calibri"/>
                <w:b w:val="false"/>
                <w:bCs w:val="false"/>
                <w:color w:val="475569"/>
                <w:sz w:val="18"/>
                <w:szCs w:val="18"/>
              </w:rPr>
              <w:t xml:space="preserve">5 000</w:t>
            </w:r>
          </w:p>
        </w:tc>
      </w:tr>
      <w:tr>
        <w:tc>
          <w:tcPr>
            <w:tcW w:type="dxa" w:w="320"/>
            <w:tcBorders>
              <w:top w:val="single" w:color="E2E8F0" w:sz="4"/>
              <w:left w:val="single" w:color="E2E8F0" w:sz="4"/>
              <w:bottom w:val="single" w:color="E2E8F0" w:sz="4"/>
              <w:right w:val="single" w:color="E2E8F0" w:sz="4"/>
            </w:tcBorders>
            <w:shd w:fill="FFFFFF" w:val="clear"/>
            <w:tcMar>
              <w:top w:type="dxa" w:w="100"/>
              <w:left w:type="dxa" w:w="80"/>
              <w:bottom w:type="dxa" w:w="100"/>
              <w:right w:type="dxa" w:w="80"/>
            </w:tcMar>
          </w:tcPr>
          <w:p>
            <w:r>
              <w:rPr>
                <w:rFonts w:ascii="Calibri" w:cs="Calibri" w:eastAsia="Calibri" w:hAnsi="Calibri"/>
                <w:b/>
                <w:bCs/>
                <w:color w:val="475569"/>
                <w:sz w:val="18"/>
                <w:szCs w:val="18"/>
              </w:rPr>
              <w:t xml:space="preserve">4</w:t>
            </w:r>
          </w:p>
        </w:tc>
        <w:tc>
          <w:tcPr>
            <w:tcW w:type="dxa" w:w="2720"/>
            <w:tcBorders>
              <w:top w:val="single" w:color="E2E8F0" w:sz="4"/>
              <w:left w:val="single" w:color="E2E8F0" w:sz="4"/>
              <w:bottom w:val="single" w:color="E2E8F0" w:sz="4"/>
              <w:right w:val="single" w:color="E2E8F0" w:sz="4"/>
            </w:tcBorders>
            <w:shd w:fill="FFFFFF" w:val="clear"/>
            <w:tcMar>
              <w:top w:type="dxa" w:w="100"/>
              <w:left w:type="dxa" w:w="80"/>
              <w:bottom w:type="dxa" w:w="100"/>
              <w:right w:type="dxa" w:w="80"/>
            </w:tcMar>
          </w:tcPr>
          <w:p>
            <w:r>
              <w:rPr>
                <w:rFonts w:ascii="Calibri" w:cs="Calibri" w:eastAsia="Calibri" w:hAnsi="Calibri"/>
                <w:b w:val="false"/>
                <w:bCs w:val="false"/>
                <w:color w:val="475569"/>
                <w:sz w:val="18"/>
                <w:szCs w:val="18"/>
              </w:rPr>
              <w:t xml:space="preserve">Innerblåsa + tappkran, BPA-fri PE/EVOH</w:t>
            </w:r>
          </w:p>
        </w:tc>
        <w:tc>
          <w:tcPr>
            <w:tcW w:type="dxa" w:w="1120"/>
            <w:tcBorders>
              <w:top w:val="single" w:color="E2E8F0" w:sz="4"/>
              <w:left w:val="single" w:color="E2E8F0" w:sz="4"/>
              <w:bottom w:val="single" w:color="E2E8F0" w:sz="4"/>
              <w:right w:val="single" w:color="E2E8F0" w:sz="4"/>
            </w:tcBorders>
            <w:shd w:fill="FFFFFF" w:val="clear"/>
            <w:tcMar>
              <w:top w:type="dxa" w:w="100"/>
              <w:left w:type="dxa" w:w="80"/>
              <w:bottom w:type="dxa" w:w="100"/>
              <w:right w:type="dxa" w:w="80"/>
            </w:tcMar>
          </w:tcPr>
          <w:p>
            <w:r>
              <w:rPr>
                <w:rFonts w:ascii="Calibri" w:cs="Calibri" w:eastAsia="Calibri" w:hAnsi="Calibri"/>
                <w:b w:val="false"/>
                <w:bCs w:val="false"/>
                <w:color w:val="475569"/>
                <w:sz w:val="18"/>
                <w:szCs w:val="18"/>
              </w:rPr>
              <w:t xml:space="preserve">205 000 st</w:t>
            </w:r>
          </w:p>
        </w:tc>
        <w:tc>
          <w:tcPr>
            <w:tcW w:type="dxa" w:w="1120"/>
            <w:tcBorders>
              <w:top w:val="single" w:color="E2E8F0" w:sz="4"/>
              <w:left w:val="single" w:color="E2E8F0" w:sz="4"/>
              <w:bottom w:val="single" w:color="E2E8F0" w:sz="4"/>
              <w:right w:val="single" w:color="E2E8F0" w:sz="4"/>
            </w:tcBorders>
            <w:shd w:fill="FFFFFF" w:val="clear"/>
            <w:tcMar>
              <w:top w:type="dxa" w:w="100"/>
              <w:left w:type="dxa" w:w="80"/>
              <w:bottom w:type="dxa" w:w="100"/>
              <w:right w:type="dxa" w:w="80"/>
            </w:tcMar>
          </w:tcPr>
          <w:p>
            <w:r>
              <w:rPr>
                <w:rFonts w:ascii="Calibri" w:cs="Calibri" w:eastAsia="Calibri" w:hAnsi="Calibri"/>
                <w:b/>
                <w:bCs/>
                <w:color w:val="1B2B4B"/>
                <w:sz w:val="18"/>
                <w:szCs w:val="18"/>
              </w:rPr>
              <w:t xml:space="preserve">1,65 kr</w:t>
            </w:r>
          </w:p>
        </w:tc>
        <w:tc>
          <w:tcPr>
            <w:tcW w:type="dxa" w:w="1120"/>
            <w:tcBorders>
              <w:top w:val="single" w:color="E2E8F0" w:sz="4"/>
              <w:left w:val="single" w:color="E2E8F0" w:sz="4"/>
              <w:bottom w:val="single" w:color="E2E8F0" w:sz="4"/>
              <w:right w:val="single" w:color="E2E8F0" w:sz="4"/>
            </w:tcBorders>
            <w:shd w:fill="FFFFFF" w:val="clear"/>
            <w:tcMar>
              <w:top w:type="dxa" w:w="100"/>
              <w:left w:type="dxa" w:w="80"/>
              <w:bottom w:type="dxa" w:w="100"/>
              <w:right w:type="dxa" w:w="80"/>
            </w:tcMar>
          </w:tcPr>
          <w:p>
            <w:r>
              <w:rPr>
                <w:rFonts w:ascii="Calibri" w:cs="Calibri" w:eastAsia="Calibri" w:hAnsi="Calibri"/>
                <w:b w:val="false"/>
                <w:bCs w:val="false"/>
                <w:color w:val="0891B2"/>
                <w:sz w:val="18"/>
                <w:szCs w:val="18"/>
              </w:rPr>
              <w:t xml:space="preserve">1,50 kr</w:t>
            </w:r>
          </w:p>
        </w:tc>
        <w:tc>
          <w:tcPr>
            <w:tcW w:type="dxa" w:w="1120"/>
            <w:tcBorders>
              <w:top w:val="single" w:color="E2E8F0" w:sz="4"/>
              <w:left w:val="single" w:color="E2E8F0" w:sz="4"/>
              <w:bottom w:val="single" w:color="E2E8F0" w:sz="4"/>
              <w:right w:val="single" w:color="E2E8F0" w:sz="4"/>
            </w:tcBorders>
            <w:shd w:fill="FFFFFF" w:val="clear"/>
            <w:tcMar>
              <w:top w:type="dxa" w:w="100"/>
              <w:left w:type="dxa" w:w="80"/>
              <w:bottom w:type="dxa" w:w="100"/>
              <w:right w:type="dxa" w:w="80"/>
            </w:tcMar>
          </w:tcPr>
          <w:p>
            <w:r>
              <w:rPr>
                <w:rFonts w:ascii="Calibri" w:cs="Calibri" w:eastAsia="Calibri" w:hAnsi="Calibri"/>
                <w:b w:val="false"/>
                <w:bCs w:val="false"/>
                <w:color w:val="0891B2"/>
                <w:sz w:val="18"/>
                <w:szCs w:val="18"/>
              </w:rPr>
              <w:t xml:space="preserve">1,35 kr</w:t>
            </w:r>
          </w:p>
        </w:tc>
        <w:tc>
          <w:tcPr>
            <w:tcW w:type="dxa" w:w="1120"/>
            <w:tcBorders>
              <w:top w:val="single" w:color="E2E8F0" w:sz="4"/>
              <w:left w:val="single" w:color="E2E8F0" w:sz="4"/>
              <w:bottom w:val="single" w:color="E2E8F0" w:sz="4"/>
              <w:right w:val="single" w:color="E2E8F0" w:sz="4"/>
            </w:tcBorders>
            <w:shd w:fill="FFFFFF" w:val="clear"/>
            <w:tcMar>
              <w:top w:type="dxa" w:w="100"/>
              <w:left w:type="dxa" w:w="80"/>
              <w:bottom w:type="dxa" w:w="100"/>
              <w:right w:type="dxa" w:w="80"/>
            </w:tcMar>
          </w:tcPr>
          <w:p>
            <w:r>
              <w:rPr>
                <w:rFonts w:ascii="Calibri" w:cs="Calibri" w:eastAsia="Calibri" w:hAnsi="Calibri"/>
                <w:b w:val="false"/>
                <w:bCs w:val="false"/>
                <w:color w:val="475569"/>
                <w:sz w:val="18"/>
                <w:szCs w:val="18"/>
              </w:rPr>
              <w:t xml:space="preserve">10 dgr</w:t>
            </w:r>
          </w:p>
        </w:tc>
        <w:tc>
          <w:tcPr>
            <w:tcW w:type="dxa" w:w="1120"/>
            <w:tcBorders>
              <w:top w:val="single" w:color="E2E8F0" w:sz="4"/>
              <w:left w:val="single" w:color="E2E8F0" w:sz="4"/>
              <w:bottom w:val="single" w:color="E2E8F0" w:sz="4"/>
              <w:right w:val="single" w:color="E2E8F0" w:sz="4"/>
            </w:tcBorders>
            <w:shd w:fill="FFFFFF" w:val="clear"/>
            <w:tcMar>
              <w:top w:type="dxa" w:w="100"/>
              <w:left w:type="dxa" w:w="80"/>
              <w:bottom w:type="dxa" w:w="100"/>
              <w:right w:type="dxa" w:w="80"/>
            </w:tcMar>
          </w:tcPr>
          <w:p>
            <w:r>
              <w:rPr>
                <w:rFonts w:ascii="Calibri" w:cs="Calibri" w:eastAsia="Calibri" w:hAnsi="Calibri"/>
                <w:b w:val="false"/>
                <w:bCs w:val="false"/>
                <w:color w:val="475569"/>
                <w:sz w:val="18"/>
                <w:szCs w:val="18"/>
              </w:rPr>
              <w:t xml:space="preserve">4 dgr</w:t>
            </w:r>
          </w:p>
        </w:tc>
        <w:tc>
          <w:tcPr>
            <w:tcW w:type="dxa" w:w="520"/>
            <w:tcBorders>
              <w:top w:val="single" w:color="E2E8F0" w:sz="4"/>
              <w:left w:val="single" w:color="E2E8F0" w:sz="4"/>
              <w:bottom w:val="single" w:color="E2E8F0" w:sz="4"/>
              <w:right w:val="single" w:color="E2E8F0" w:sz="4"/>
            </w:tcBorders>
            <w:shd w:fill="FFFFFF" w:val="clear"/>
            <w:tcMar>
              <w:top w:type="dxa" w:w="100"/>
              <w:left w:type="dxa" w:w="80"/>
              <w:bottom w:type="dxa" w:w="100"/>
              <w:right w:type="dxa" w:w="80"/>
            </w:tcMar>
          </w:tcPr>
          <w:p>
            <w:r>
              <w:rPr>
                <w:rFonts w:ascii="Calibri" w:cs="Calibri" w:eastAsia="Calibri" w:hAnsi="Calibri"/>
                <w:b w:val="false"/>
                <w:bCs w:val="false"/>
                <w:color w:val="475569"/>
                <w:sz w:val="18"/>
                <w:szCs w:val="18"/>
              </w:rPr>
              <w:t xml:space="preserve">5 000</w:t>
            </w:r>
          </w:p>
        </w:tc>
      </w:tr>
    </w:tbl>
    <w:p>
      <w:pPr>
        <w:spacing w:after="80"/>
      </w:pPr>
      <w:r>
        <w:t xml:space="preserve"/>
      </w:r>
    </w:p>
    <w:p>
      <w:pPr>
        <w:spacing w:after="200"/>
        <w:jc w:val="left"/>
      </w:pPr>
      <w:r>
        <w:rPr>
          <w:rFonts w:ascii="Calibri" w:cs="Calibri" w:eastAsia="Calibri" w:hAnsi="Calibri"/>
          <w:b w:val="false"/>
          <w:bCs w:val="false"/>
          <w:i/>
          <w:iCs/>
          <w:color w:val="64748B"/>
          <w:sz w:val="19"/>
          <w:szCs w:val="19"/>
        </w:rPr>
        <w:t xml:space="preserve">Alla priser är exkl. moms. Fraktkostnad ingår vid ordervolym &gt; 10 000 enheter per leverans. Valuta: SEK. Priserna är fasta t.o.m. 31 december 2026 oavsett råvarukostnadsutveckling.</w:t>
      </w:r>
    </w:p>
    <w:p>
      <w:pPr>
        <w:pStyle w:val="Heading2"/>
      </w:pPr>
      <w:r>
        <w:rPr>
          <w:rFonts w:ascii="Calibri" w:cs="Calibri" w:eastAsia="Calibri" w:hAnsi="Calibri"/>
          <w:b/>
          <w:bCs/>
          <w:color w:val="1B2B4B"/>
        </w:rPr>
        <w:t xml:space="preserve">2.  Certifieringar &amp; kvalitet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60"/>
        <w:gridCol w:w="240"/>
        <w:gridCol w:w="4560"/>
      </w:tblGrid>
      <w:tr>
        <w:tc>
          <w:tcPr>
            <w:tcW w:type="dxa" w:w="4560"/>
            <w:tcBorders>
              <w:top w:val="single" w:color="E2E8F0" w:sz="4"/>
              <w:left w:val="single" w:color="E2E8F0" w:sz="4"/>
              <w:bottom w:val="single" w:color="E2E8F0" w:sz="4"/>
              <w:right w:val="single" w:color="E2E8F0" w:sz="4"/>
            </w:tcBorders>
            <w:shd w:fill="F0FDF4" w:val="clear"/>
            <w:tcMar>
              <w:top w:type="dxa" w:w="120"/>
              <w:left w:type="dxa" w:w="200"/>
              <w:bottom w:type="dxa" w:w="120"/>
              <w:right w:type="dxa" w:w="200"/>
            </w:tcMar>
          </w:tcPr>
          <w:p>
            <w:pPr>
              <w:spacing w:after="80"/>
            </w:pPr>
            <w:r>
              <w:rPr>
                <w:rFonts w:ascii="Calibri" w:cs="Calibri" w:eastAsia="Calibri" w:hAnsi="Calibri"/>
                <w:b/>
                <w:bCs/>
                <w:color w:val="1B2B4B"/>
                <w:sz w:val="22"/>
                <w:szCs w:val="22"/>
              </w:rPr>
              <w:t xml:space="preserve">Certifieringar</w:t>
            </w:r>
          </w:p>
          <w:p>
            <w:pPr>
              <w:pStyle w:val="ListParagraph"/>
              <w:numPr>
                <w:ilvl w:val="0"/>
                <w:numId w:val="2"/>
              </w:numPr>
              <w:spacing w:after="80"/>
            </w:pPr>
            <w:r>
              <w:rPr>
                <w:rFonts w:ascii="Calibri" w:cs="Calibri" w:eastAsia="Calibri" w:hAnsi="Calibri"/>
                <w:color w:val="475569"/>
                <w:sz w:val="22"/>
                <w:szCs w:val="22"/>
              </w:rPr>
              <w:t xml:space="preserve">FSC Mix Credit – spårbar råvara</w:t>
            </w:r>
          </w:p>
          <w:p>
            <w:pPr>
              <w:pStyle w:val="ListParagraph"/>
              <w:numPr>
                <w:ilvl w:val="0"/>
                <w:numId w:val="2"/>
              </w:numPr>
              <w:spacing w:after="80"/>
            </w:pPr>
            <w:r>
              <w:rPr>
                <w:rFonts w:ascii="Calibri" w:cs="Calibri" w:eastAsia="Calibri" w:hAnsi="Calibri"/>
                <w:color w:val="475569"/>
                <w:sz w:val="22"/>
                <w:szCs w:val="22"/>
              </w:rPr>
              <w:t xml:space="preserve">ISO 9001:2015 – kvalitetsledning</w:t>
            </w:r>
          </w:p>
          <w:p>
            <w:pPr>
              <w:pStyle w:val="ListParagraph"/>
              <w:numPr>
                <w:ilvl w:val="0"/>
                <w:numId w:val="2"/>
              </w:numPr>
              <w:spacing w:after="80"/>
            </w:pPr>
            <w:r>
              <w:rPr>
                <w:rFonts w:ascii="Calibri" w:cs="Calibri" w:eastAsia="Calibri" w:hAnsi="Calibri"/>
                <w:color w:val="475569"/>
                <w:sz w:val="22"/>
                <w:szCs w:val="22"/>
              </w:rPr>
              <w:t xml:space="preserve">BRC/IoP Global Standard Packaging</w:t>
            </w:r>
          </w:p>
          <w:p>
            <w:pPr>
              <w:pStyle w:val="ListParagraph"/>
              <w:numPr>
                <w:ilvl w:val="0"/>
                <w:numId w:val="2"/>
              </w:numPr>
              <w:spacing w:after="80"/>
            </w:pPr>
            <w:r>
              <w:rPr>
                <w:rFonts w:ascii="Calibri" w:cs="Calibri" w:eastAsia="Calibri" w:hAnsi="Calibri"/>
                <w:color w:val="475569"/>
                <w:sz w:val="22"/>
                <w:szCs w:val="22"/>
              </w:rPr>
              <w:t xml:space="preserve">EU-förordning 10/2011 – livsmedelsplast</w:t>
            </w:r>
          </w:p>
          <w:p>
            <w:pPr>
              <w:pStyle w:val="ListParagraph"/>
              <w:numPr>
                <w:ilvl w:val="0"/>
                <w:numId w:val="2"/>
              </w:numPr>
              <w:spacing w:after="80"/>
            </w:pPr>
            <w:r>
              <w:rPr>
                <w:rFonts w:ascii="Calibri" w:cs="Calibri" w:eastAsia="Calibri" w:hAnsi="Calibri"/>
                <w:color w:val="475569"/>
                <w:sz w:val="22"/>
                <w:szCs w:val="22"/>
              </w:rPr>
              <w:t xml:space="preserve">FSSC 22000 – livsmedelssäkerhet</w:t>
            </w:r>
          </w:p>
        </w:tc>
        <w:tc>
          <w:tcPr>
            <w:tcW w:type="dxa" w:w="240"/>
            <w:tcBorders>
              <w:top w:val="none" w:color="FFFFFF" w:sz="0"/>
              <w:left w:val="none" w:color="FFFFFF" w:sz="0"/>
              <w:bottom w:val="none" w:color="FFFFFF" w:sz="0"/>
              <w:right w:val="none" w:color="FFFFFF" w:sz="0"/>
            </w:tcBorders>
          </w:tcPr>
          <w:p>
            <w:pPr>
              <w:spacing w:after="160"/>
            </w:pPr>
            <w:r>
              <w:t xml:space="preserve"/>
            </w:r>
          </w:p>
        </w:tc>
        <w:tc>
          <w:tcPr>
            <w:tcW w:type="dxa" w:w="4560"/>
            <w:tcBorders>
              <w:top w:val="single" w:color="E2E8F0" w:sz="4"/>
              <w:left w:val="single" w:color="E2E8F0" w:sz="4"/>
              <w:bottom w:val="single" w:color="E2E8F0" w:sz="4"/>
              <w:right w:val="single" w:color="E2E8F0" w:sz="4"/>
            </w:tcBorders>
            <w:shd w:fill="EFF6FF" w:val="clear"/>
            <w:tcMar>
              <w:top w:type="dxa" w:w="120"/>
              <w:left w:type="dxa" w:w="200"/>
              <w:bottom w:type="dxa" w:w="120"/>
              <w:right w:type="dxa" w:w="200"/>
            </w:tcMar>
          </w:tcPr>
          <w:p>
            <w:pPr>
              <w:spacing w:after="80"/>
            </w:pPr>
            <w:r>
              <w:rPr>
                <w:rFonts w:ascii="Calibri" w:cs="Calibri" w:eastAsia="Calibri" w:hAnsi="Calibri"/>
                <w:b/>
                <w:bCs/>
                <w:color w:val="1B2B4B"/>
                <w:sz w:val="22"/>
                <w:szCs w:val="22"/>
              </w:rPr>
              <w:t xml:space="preserve">Hållbarhet</w:t>
            </w:r>
          </w:p>
          <w:p>
            <w:pPr>
              <w:pStyle w:val="ListParagraph"/>
              <w:numPr>
                <w:ilvl w:val="0"/>
                <w:numId w:val="2"/>
              </w:numPr>
              <w:spacing w:after="80"/>
            </w:pPr>
            <w:r>
              <w:rPr>
                <w:rFonts w:ascii="Calibri" w:cs="Calibri" w:eastAsia="Calibri" w:hAnsi="Calibri"/>
                <w:color w:val="475569"/>
                <w:sz w:val="22"/>
                <w:szCs w:val="22"/>
              </w:rPr>
              <w:t xml:space="preserve">100 % förnybar el i vår produktion sedan 2024</w:t>
            </w:r>
          </w:p>
          <w:p>
            <w:pPr>
              <w:pStyle w:val="ListParagraph"/>
              <w:numPr>
                <w:ilvl w:val="0"/>
                <w:numId w:val="2"/>
              </w:numPr>
              <w:spacing w:after="80"/>
            </w:pPr>
            <w:r>
              <w:rPr>
                <w:rFonts w:ascii="Calibri" w:cs="Calibri" w:eastAsia="Calibri" w:hAnsi="Calibri"/>
                <w:color w:val="475569"/>
                <w:sz w:val="22"/>
                <w:szCs w:val="22"/>
              </w:rPr>
              <w:t xml:space="preserve">Kartonger: 85 % återvunnet fiber</w:t>
            </w:r>
          </w:p>
          <w:p>
            <w:pPr>
              <w:pStyle w:val="ListParagraph"/>
              <w:numPr>
                <w:ilvl w:val="0"/>
                <w:numId w:val="2"/>
              </w:numPr>
              <w:spacing w:after="80"/>
            </w:pPr>
            <w:r>
              <w:rPr>
                <w:rFonts w:ascii="Calibri" w:cs="Calibri" w:eastAsia="Calibri" w:hAnsi="Calibri"/>
                <w:color w:val="475569"/>
                <w:sz w:val="22"/>
                <w:szCs w:val="22"/>
              </w:rPr>
              <w:t xml:space="preserve">Scope 1 &amp; 2-utsläpp: -38 % vs 2020</w:t>
            </w:r>
          </w:p>
          <w:p>
            <w:pPr>
              <w:pStyle w:val="ListParagraph"/>
              <w:numPr>
                <w:ilvl w:val="0"/>
                <w:numId w:val="2"/>
              </w:numPr>
              <w:spacing w:after="80"/>
            </w:pPr>
            <w:r>
              <w:rPr>
                <w:rFonts w:ascii="Calibri" w:cs="Calibri" w:eastAsia="Calibri" w:hAnsi="Calibri"/>
                <w:color w:val="475569"/>
                <w:sz w:val="22"/>
                <w:szCs w:val="22"/>
              </w:rPr>
              <w:t xml:space="preserve">Science Based Targets-åtagande 2030</w:t>
            </w:r>
          </w:p>
          <w:p>
            <w:pPr>
              <w:pStyle w:val="ListParagraph"/>
              <w:numPr>
                <w:ilvl w:val="0"/>
                <w:numId w:val="2"/>
              </w:numPr>
              <w:spacing w:after="80"/>
            </w:pPr>
            <w:r>
              <w:rPr>
                <w:rFonts w:ascii="Calibri" w:cs="Calibri" w:eastAsia="Calibri" w:hAnsi="Calibri"/>
                <w:color w:val="475569"/>
                <w:sz w:val="22"/>
                <w:szCs w:val="22"/>
              </w:rPr>
              <w:t xml:space="preserve">Hållbarhetsrapport tillgänglig på begäran</w:t>
            </w:r>
          </w:p>
        </w:tc>
      </w:tr>
    </w:tbl>
    <w:p>
      <w:pPr>
        <w:spacing w:after="160"/>
      </w:pPr>
      <w:r>
        <w:t xml:space="preserve"/>
      </w:r>
    </w:p>
    <w:p>
      <w:pPr>
        <w:pStyle w:val="Heading2"/>
      </w:pPr>
      <w:r>
        <w:rPr>
          <w:rFonts w:ascii="Calibri" w:cs="Calibri" w:eastAsia="Calibri" w:hAnsi="Calibri"/>
          <w:b/>
          <w:bCs/>
          <w:color w:val="1B2B4B"/>
        </w:rPr>
        <w:t xml:space="preserve">3.  Affärsvillkor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6560"/>
      </w:tblGrid>
      <w:tr>
        <w:tc>
          <w:tcPr>
            <w:tcW w:type="dxa" w:w="2800"/>
            <w:tcBorders>
              <w:top w:val="single" w:color="E2E8F0" w:sz="4"/>
              <w:left w:val="single" w:color="E2E8F0" w:sz="4"/>
              <w:bottom w:val="single" w:color="E2E8F0" w:sz="4"/>
              <w:right w:val="single" w:color="E2E8F0" w:sz="4"/>
            </w:tcBorders>
            <w:shd w:fill="F8FAFC" w:val="clear"/>
            <w:tcMar>
              <w:top w:type="dxa" w:w="100"/>
              <w:left w:type="dxa" w:w="160"/>
              <w:bottom w:type="dxa" w:w="100"/>
              <w:right w:type="dxa" w:w="120"/>
            </w:tcMar>
          </w:tcPr>
          <w:p>
            <w:r>
              <w:rPr>
                <w:rFonts w:ascii="Calibri" w:cs="Calibri" w:eastAsia="Calibri" w:hAnsi="Calibri"/>
                <w:b/>
                <w:bCs/>
                <w:color w:val="1B2B4B"/>
                <w:sz w:val="21"/>
                <w:szCs w:val="21"/>
              </w:rPr>
              <w:t xml:space="preserve">Betalningsvillkor</w:t>
            </w:r>
          </w:p>
        </w:tc>
        <w:tc>
          <w:tcPr>
            <w:tcW w:type="dxa" w:w="6560"/>
            <w:tcBorders>
              <w:top w:val="single" w:color="E2E8F0" w:sz="4"/>
              <w:left w:val="single" w:color="E2E8F0" w:sz="4"/>
              <w:bottom w:val="single" w:color="E2E8F0" w:sz="4"/>
              <w:right w:val="single" w:color="E2E8F0" w:sz="4"/>
            </w:tcBorders>
            <w:shd w:fill="F8FAFC" w:val="clear"/>
            <w:tcMar>
              <w:top w:type="dxa" w:w="100"/>
              <w:left w:type="dxa" w:w="160"/>
              <w:bottom w:type="dxa" w:w="100"/>
              <w:right w:type="dxa" w:w="120"/>
            </w:tcMar>
          </w:tcPr>
          <w:p>
            <w:r>
              <w:rPr>
                <w:rFonts w:ascii="Calibri" w:cs="Calibri" w:eastAsia="Calibri" w:hAnsi="Calibri"/>
                <w:color w:val="475569"/>
                <w:sz w:val="21"/>
                <w:szCs w:val="21"/>
              </w:rPr>
              <w:t xml:space="preserve">30 dagar netto. Vid årsvolym &gt; 400 000 enheter erbjuds 60 dagar netto.</w:t>
            </w:r>
          </w:p>
        </w:tc>
      </w:tr>
      <w:tr>
        <w:tc>
          <w:tcPr>
            <w:tcW w:type="dxa" w:w="2800"/>
            <w:tcBorders>
              <w:top w:val="single" w:color="E2E8F0" w:sz="4"/>
              <w:left w:val="single" w:color="E2E8F0" w:sz="4"/>
              <w:bottom w:val="single" w:color="E2E8F0" w:sz="4"/>
              <w:right w:val="single" w:color="E2E8F0" w:sz="4"/>
            </w:tcBorders>
            <w:shd w:fill="FFFFFF" w:val="clear"/>
            <w:tcMar>
              <w:top w:type="dxa" w:w="100"/>
              <w:left w:type="dxa" w:w="160"/>
              <w:bottom w:type="dxa" w:w="100"/>
              <w:right w:type="dxa" w:w="120"/>
            </w:tcMar>
          </w:tcPr>
          <w:p>
            <w:r>
              <w:rPr>
                <w:rFonts w:ascii="Calibri" w:cs="Calibri" w:eastAsia="Calibri" w:hAnsi="Calibri"/>
                <w:b/>
                <w:bCs/>
                <w:color w:val="1B2B4B"/>
                <w:sz w:val="21"/>
                <w:szCs w:val="21"/>
              </w:rPr>
              <w:t xml:space="preserve">Valuta &amp; indexering</w:t>
            </w:r>
          </w:p>
        </w:tc>
        <w:tc>
          <w:tcPr>
            <w:tcW w:type="dxa" w:w="6560"/>
            <w:tcBorders>
              <w:top w:val="single" w:color="E2E8F0" w:sz="4"/>
              <w:left w:val="single" w:color="E2E8F0" w:sz="4"/>
              <w:bottom w:val="single" w:color="E2E8F0" w:sz="4"/>
              <w:right w:val="single" w:color="E2E8F0" w:sz="4"/>
            </w:tcBorders>
            <w:shd w:fill="FFFFFF" w:val="clear"/>
            <w:tcMar>
              <w:top w:type="dxa" w:w="100"/>
              <w:left w:type="dxa" w:w="160"/>
              <w:bottom w:type="dxa" w:w="100"/>
              <w:right w:type="dxa" w:w="120"/>
            </w:tcMar>
          </w:tcPr>
          <w:p>
            <w:r>
              <w:rPr>
                <w:rFonts w:ascii="Calibri" w:cs="Calibri" w:eastAsia="Calibri" w:hAnsi="Calibri"/>
                <w:color w:val="475569"/>
                <w:sz w:val="21"/>
                <w:szCs w:val="21"/>
              </w:rPr>
              <w:t xml:space="preserve">SEK. Priser fasta t.o.m. 2026-12-31. Indexklausul (FOEX containerboard) fr.o.m. 2027.</w:t>
            </w:r>
          </w:p>
        </w:tc>
      </w:tr>
      <w:tr>
        <w:tc>
          <w:tcPr>
            <w:tcW w:type="dxa" w:w="2800"/>
            <w:tcBorders>
              <w:top w:val="single" w:color="E2E8F0" w:sz="4"/>
              <w:left w:val="single" w:color="E2E8F0" w:sz="4"/>
              <w:bottom w:val="single" w:color="E2E8F0" w:sz="4"/>
              <w:right w:val="single" w:color="E2E8F0" w:sz="4"/>
            </w:tcBorders>
            <w:shd w:fill="F8FAFC" w:val="clear"/>
            <w:tcMar>
              <w:top w:type="dxa" w:w="100"/>
              <w:left w:type="dxa" w:w="160"/>
              <w:bottom w:type="dxa" w:w="100"/>
              <w:right w:type="dxa" w:w="120"/>
            </w:tcMar>
          </w:tcPr>
          <w:p>
            <w:r>
              <w:rPr>
                <w:rFonts w:ascii="Calibri" w:cs="Calibri" w:eastAsia="Calibri" w:hAnsi="Calibri"/>
                <w:b/>
                <w:bCs/>
                <w:color w:val="1B2B4B"/>
                <w:sz w:val="21"/>
                <w:szCs w:val="21"/>
              </w:rPr>
              <w:t xml:space="preserve">Lagerupplägg</w:t>
            </w:r>
          </w:p>
        </w:tc>
        <w:tc>
          <w:tcPr>
            <w:tcW w:type="dxa" w:w="6560"/>
            <w:tcBorders>
              <w:top w:val="single" w:color="E2E8F0" w:sz="4"/>
              <w:left w:val="single" w:color="E2E8F0" w:sz="4"/>
              <w:bottom w:val="single" w:color="E2E8F0" w:sz="4"/>
              <w:right w:val="single" w:color="E2E8F0" w:sz="4"/>
            </w:tcBorders>
            <w:shd w:fill="F8FAFC" w:val="clear"/>
            <w:tcMar>
              <w:top w:type="dxa" w:w="100"/>
              <w:left w:type="dxa" w:w="160"/>
              <w:bottom w:type="dxa" w:w="100"/>
              <w:right w:type="dxa" w:w="120"/>
            </w:tcMar>
          </w:tcPr>
          <w:p>
            <w:r>
              <w:rPr>
                <w:rFonts w:ascii="Calibri" w:cs="Calibri" w:eastAsia="Calibri" w:hAnsi="Calibri"/>
                <w:color w:val="475569"/>
                <w:sz w:val="21"/>
                <w:szCs w:val="21"/>
              </w:rPr>
              <w:t xml:space="preserve">Vi erbjuder VMI (Vendor Managed Inventory) med buffertlager 3–4 veckors förbrukning i Sävedalen. Utan extrakostnad vid årsvolym &gt; 300 000 enhet.</w:t>
            </w:r>
          </w:p>
        </w:tc>
      </w:tr>
      <w:tr>
        <w:tc>
          <w:tcPr>
            <w:tcW w:type="dxa" w:w="2800"/>
            <w:tcBorders>
              <w:top w:val="single" w:color="E2E8F0" w:sz="4"/>
              <w:left w:val="single" w:color="E2E8F0" w:sz="4"/>
              <w:bottom w:val="single" w:color="E2E8F0" w:sz="4"/>
              <w:right w:val="single" w:color="E2E8F0" w:sz="4"/>
            </w:tcBorders>
            <w:shd w:fill="FFFFFF" w:val="clear"/>
            <w:tcMar>
              <w:top w:type="dxa" w:w="100"/>
              <w:left w:type="dxa" w:w="160"/>
              <w:bottom w:type="dxa" w:w="100"/>
              <w:right w:type="dxa" w:w="120"/>
            </w:tcMar>
          </w:tcPr>
          <w:p>
            <w:r>
              <w:rPr>
                <w:rFonts w:ascii="Calibri" w:cs="Calibri" w:eastAsia="Calibri" w:hAnsi="Calibri"/>
                <w:b/>
                <w:bCs/>
                <w:color w:val="1B2B4B"/>
                <w:sz w:val="21"/>
                <w:szCs w:val="21"/>
              </w:rPr>
              <w:t xml:space="preserve">Reklamation</w:t>
            </w:r>
          </w:p>
        </w:tc>
        <w:tc>
          <w:tcPr>
            <w:tcW w:type="dxa" w:w="6560"/>
            <w:tcBorders>
              <w:top w:val="single" w:color="E2E8F0" w:sz="4"/>
              <w:left w:val="single" w:color="E2E8F0" w:sz="4"/>
              <w:bottom w:val="single" w:color="E2E8F0" w:sz="4"/>
              <w:right w:val="single" w:color="E2E8F0" w:sz="4"/>
            </w:tcBorders>
            <w:shd w:fill="FFFFFF" w:val="clear"/>
            <w:tcMar>
              <w:top w:type="dxa" w:w="100"/>
              <w:left w:type="dxa" w:w="160"/>
              <w:bottom w:type="dxa" w:w="100"/>
              <w:right w:type="dxa" w:w="120"/>
            </w:tcMar>
          </w:tcPr>
          <w:p>
            <w:r>
              <w:rPr>
                <w:rFonts w:ascii="Calibri" w:cs="Calibri" w:eastAsia="Calibri" w:hAnsi="Calibri"/>
                <w:color w:val="475569"/>
                <w:sz w:val="21"/>
                <w:szCs w:val="21"/>
              </w:rPr>
              <w:t xml:space="preserve">Reklamationshantering inom 24h. Ersättningsorder inom 48h vid produktionsfel.</w:t>
            </w:r>
          </w:p>
        </w:tc>
      </w:tr>
      <w:tr>
        <w:tc>
          <w:tcPr>
            <w:tcW w:type="dxa" w:w="2800"/>
            <w:tcBorders>
              <w:top w:val="single" w:color="E2E8F0" w:sz="4"/>
              <w:left w:val="single" w:color="E2E8F0" w:sz="4"/>
              <w:bottom w:val="single" w:color="E2E8F0" w:sz="4"/>
              <w:right w:val="single" w:color="E2E8F0" w:sz="4"/>
            </w:tcBorders>
            <w:shd w:fill="F8FAFC" w:val="clear"/>
            <w:tcMar>
              <w:top w:type="dxa" w:w="100"/>
              <w:left w:type="dxa" w:w="160"/>
              <w:bottom w:type="dxa" w:w="100"/>
              <w:right w:type="dxa" w:w="120"/>
            </w:tcMar>
          </w:tcPr>
          <w:p>
            <w:r>
              <w:rPr>
                <w:rFonts w:ascii="Calibri" w:cs="Calibri" w:eastAsia="Calibri" w:hAnsi="Calibri"/>
                <w:b/>
                <w:bCs/>
                <w:color w:val="1B2B4B"/>
                <w:sz w:val="21"/>
                <w:szCs w:val="21"/>
              </w:rPr>
              <w:t xml:space="preserve">Provleverans</w:t>
            </w:r>
          </w:p>
        </w:tc>
        <w:tc>
          <w:tcPr>
            <w:tcW w:type="dxa" w:w="6560"/>
            <w:tcBorders>
              <w:top w:val="single" w:color="E2E8F0" w:sz="4"/>
              <w:left w:val="single" w:color="E2E8F0" w:sz="4"/>
              <w:bottom w:val="single" w:color="E2E8F0" w:sz="4"/>
              <w:right w:val="single" w:color="E2E8F0" w:sz="4"/>
            </w:tcBorders>
            <w:shd w:fill="F8FAFC" w:val="clear"/>
            <w:tcMar>
              <w:top w:type="dxa" w:w="100"/>
              <w:left w:type="dxa" w:w="160"/>
              <w:bottom w:type="dxa" w:w="100"/>
              <w:right w:type="dxa" w:w="120"/>
            </w:tcMar>
          </w:tcPr>
          <w:p>
            <w:r>
              <w:rPr>
                <w:rFonts w:ascii="Calibri" w:cs="Calibri" w:eastAsia="Calibri" w:hAnsi="Calibri"/>
                <w:color w:val="475569"/>
                <w:sz w:val="21"/>
                <w:szCs w:val="21"/>
              </w:rPr>
              <w:t xml:space="preserve">Provorder (1 000 st/artikel) kostnadsfritt vid avtal. Leverans inom 10 arbetsdagar.</w:t>
            </w:r>
          </w:p>
        </w:tc>
      </w:tr>
    </w:tbl>
    <w:p>
      <w:pPr>
        <w:spacing w:after="160"/>
      </w:pPr>
      <w:r>
        <w:t xml:space="preserve"/>
      </w:r>
    </w:p>
    <w:p>
      <w:pPr>
        <w:pStyle w:val="Heading2"/>
      </w:pPr>
      <w:r>
        <w:rPr>
          <w:rFonts w:ascii="Calibri" w:cs="Calibri" w:eastAsia="Calibri" w:hAnsi="Calibri"/>
          <w:b/>
          <w:bCs/>
          <w:color w:val="1B2B4B"/>
        </w:rPr>
        <w:t xml:space="preserve">4.  Referensuppdrag</w:t>
      </w:r>
    </w:p>
    <w:p>
      <w:pPr>
        <w:spacing w:after="120"/>
        <w:jc w:val="left"/>
      </w:pPr>
      <w:r>
        <w:rPr>
          <w:rFonts w:ascii="Calibri" w:cs="Calibri" w:eastAsia="Calibri" w:hAnsi="Calibri"/>
          <w:b w:val="false"/>
          <w:bCs w:val="false"/>
          <w:i w:val="false"/>
          <w:iCs w:val="false"/>
          <w:color w:val="475569"/>
          <w:sz w:val="22"/>
          <w:szCs w:val="22"/>
        </w:rPr>
        <w:t xml:space="preserve">Vi levererar idag till flera ledande aktörer inom dryckes- och livsmedelsindustrin:</w:t>
      </w:r>
    </w:p>
    <w:p>
      <w:pPr>
        <w:pStyle w:val="ListParagraph"/>
        <w:numPr>
          <w:ilvl w:val="0"/>
          <w:numId w:val="2"/>
        </w:numPr>
        <w:spacing w:after="80"/>
      </w:pPr>
      <w:r>
        <w:rPr>
          <w:rFonts w:ascii="Calibri" w:cs="Calibri" w:eastAsia="Calibri" w:hAnsi="Calibri"/>
          <w:color w:val="475569"/>
          <w:sz w:val="22"/>
          <w:szCs w:val="22"/>
        </w:rPr>
        <w:t xml:space="preserve">Leksands Konservfabrik AB – BiB 5L och 10L, 180 000 enheter/år sedan 2019</w:t>
      </w:r>
    </w:p>
    <w:p>
      <w:pPr>
        <w:pStyle w:val="ListParagraph"/>
        <w:numPr>
          <w:ilvl w:val="0"/>
          <w:numId w:val="2"/>
        </w:numPr>
        <w:spacing w:after="80"/>
      </w:pPr>
      <w:r>
        <w:rPr>
          <w:rFonts w:ascii="Calibri" w:cs="Calibri" w:eastAsia="Calibri" w:hAnsi="Calibri"/>
          <w:color w:val="475569"/>
          <w:sz w:val="22"/>
          <w:szCs w:val="22"/>
        </w:rPr>
        <w:t xml:space="preserve">Brämhults Juice AB – BiB 3L premium, 220 000 enheter/år sedan 2021</w:t>
      </w:r>
    </w:p>
    <w:p>
      <w:pPr>
        <w:pStyle w:val="ListParagraph"/>
        <w:numPr>
          <w:ilvl w:val="0"/>
          <w:numId w:val="2"/>
        </w:numPr>
        <w:spacing w:after="80"/>
      </w:pPr>
      <w:r>
        <w:rPr>
          <w:rFonts w:ascii="Calibri" w:cs="Calibri" w:eastAsia="Calibri" w:hAnsi="Calibri"/>
          <w:color w:val="475569"/>
          <w:sz w:val="22"/>
          <w:szCs w:val="22"/>
        </w:rPr>
        <w:t xml:space="preserve">Eldorado/Axfood – private label BiB 3L, 350 000 enheter/år sedan 2022</w:t>
      </w:r>
    </w:p>
    <w:p>
      <w:pPr>
        <w:spacing w:after="200"/>
        <w:jc w:val="left"/>
      </w:pPr>
      <w:r>
        <w:rPr>
          <w:rFonts w:ascii="Calibri" w:cs="Calibri" w:eastAsia="Calibri" w:hAnsi="Calibri"/>
          <w:b w:val="false"/>
          <w:bCs w:val="false"/>
          <w:i/>
          <w:iCs/>
          <w:color w:val="64748B"/>
          <w:sz w:val="22"/>
          <w:szCs w:val="22"/>
        </w:rPr>
        <w:t xml:space="preserve">Kontaktpersoner tillhandahålles på begäran.</w:t>
      </w:r>
    </w:p>
    <w:p>
      <w:pPr>
        <w:pStyle w:val="Heading2"/>
      </w:pPr>
      <w:r>
        <w:rPr>
          <w:rFonts w:ascii="Calibri" w:cs="Calibri" w:eastAsia="Calibri" w:hAnsi="Calibri"/>
          <w:b/>
          <w:bCs/>
          <w:color w:val="1B2B4B"/>
        </w:rPr>
        <w:t xml:space="preserve">5.  Föreslaget nästa steg</w:t>
      </w:r>
    </w:p>
    <w:p>
      <w:pPr>
        <w:spacing w:after="160"/>
        <w:jc w:val="left"/>
      </w:pPr>
      <w:r>
        <w:rPr>
          <w:rFonts w:ascii="Calibri" w:cs="Calibri" w:eastAsia="Calibri" w:hAnsi="Calibri"/>
          <w:b w:val="false"/>
          <w:bCs w:val="false"/>
          <w:i w:val="false"/>
          <w:iCs w:val="false"/>
          <w:color w:val="475569"/>
          <w:sz w:val="22"/>
          <w:szCs w:val="22"/>
        </w:rPr>
        <w:t xml:space="preserve">Vi föreslår ett 45-minuters videomöte vecka 14 (1–3 april) där vi kan gå igenom offerten, visa materialprover och besvara eventuella tekniska frågor. Vi kan också ordna ett fabriksbesök i Sävedalen om ni önskar se vår produktion.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
        <w:gridCol w:w="9160"/>
      </w:tblGrid>
      <w:tr>
        <w:tc>
          <w:tcPr>
            <w:tcW w:type="dxa" w:w="200"/>
            <w:tcBorders>
              <w:top w:val="none" w:color="FFFFFF" w:sz="0"/>
              <w:left w:val="none" w:color="FFFFFF" w:sz="0"/>
              <w:bottom w:val="none" w:color="FFFFFF" w:sz="0"/>
              <w:right w:val="none" w:color="FFFFFF" w:sz="0"/>
            </w:tcBorders>
            <w:shd w:fill="1B2B4B" w:val="clear"/>
          </w:tcPr>
          <w:p>
            <w:r>
              <w:t xml:space="preserve"/>
            </w:r>
          </w:p>
        </w:tc>
        <w:tc>
          <w:tcPr>
            <w:tcW w:type="dxa" w:w="9160"/>
            <w:tcBorders>
              <w:top w:val="single" w:color="1B2B4B" w:sz="4"/>
              <w:left w:val="single" w:color="1B2B4B" w:sz="4"/>
              <w:bottom w:val="single" w:color="1B2B4B" w:sz="4"/>
              <w:right w:val="single" w:color="1B2B4B" w:sz="4"/>
            </w:tcBorders>
            <w:shd w:fill="EFF6FF" w:val="clear"/>
            <w:tcMar>
              <w:top w:type="dxa" w:w="160"/>
              <w:left w:type="dxa" w:w="240"/>
              <w:bottom w:type="dxa" w:w="160"/>
              <w:right w:type="dxa" w:w="240"/>
            </w:tcMar>
          </w:tcPr>
          <w:p>
            <w:pPr>
              <w:spacing w:after="80"/>
            </w:pPr>
            <w:r>
              <w:rPr>
                <w:rFonts w:ascii="Calibri" w:cs="Calibri" w:eastAsia="Calibri" w:hAnsi="Calibri"/>
                <w:b/>
                <w:bCs/>
                <w:color w:val="1B2B4B"/>
                <w:sz w:val="22"/>
                <w:szCs w:val="22"/>
              </w:rPr>
              <w:t xml:space="preserve">Vårt löfte till Nordic Dryck AB</w:t>
            </w:r>
          </w:p>
          <w:p>
            <w:pPr>
              <w:spacing w:after="0"/>
              <w:jc w:val="left"/>
            </w:pPr>
            <w:r>
              <w:rPr>
                <w:rFonts w:ascii="Calibri" w:cs="Calibri" w:eastAsia="Calibri" w:hAnsi="Calibri"/>
                <w:b w:val="false"/>
                <w:bCs w:val="false"/>
                <w:i w:val="false"/>
                <w:iCs w:val="false"/>
                <w:color w:val="475569"/>
                <w:sz w:val="22"/>
                <w:szCs w:val="22"/>
              </w:rPr>
              <w:t xml:space="preserve">Vi levererar inte bara kartonger – vi levererar en pålitlig del av er produktion. Med 99,1 % leveransprecision, fasta priser och VMI-lager i Sävedalen kan ni fokusera på era produkter medan vi säkerställer att förpackningarna alltid finns på plats.</w:t>
            </w:r>
          </w:p>
        </w:tc>
      </w:tr>
    </w:tbl>
    <w:p>
      <w:pPr>
        <w:spacing w:after="200"/>
      </w:pPr>
      <w:r>
        <w:t xml:space="preserve"/>
      </w:r>
    </w:p>
    <w:p>
      <w:pPr>
        <w:spacing w:after="120"/>
        <w:jc w:val="left"/>
      </w:pPr>
      <w:r>
        <w:rPr>
          <w:rFonts w:ascii="Calibri" w:cs="Calibri" w:eastAsia="Calibri" w:hAnsi="Calibri"/>
          <w:b w:val="false"/>
          <w:bCs w:val="false"/>
          <w:i w:val="false"/>
          <w:iCs w:val="false"/>
          <w:color w:val="475569"/>
          <w:sz w:val="22"/>
          <w:szCs w:val="22"/>
        </w:rPr>
        <w:t xml:space="preserve">Med vänliga hälsningar,</w:t>
      </w:r>
    </w:p>
    <w:p>
      <w:pPr>
        <w:spacing w:after="80"/>
      </w:pPr>
      <w:r>
        <w:t xml:space="preserve"/>
      </w:r>
    </w:p>
    <w:p>
      <w:pPr>
        <w:spacing w:after="60"/>
        <w:jc w:val="left"/>
      </w:pPr>
      <w:r>
        <w:rPr>
          <w:rFonts w:ascii="Calibri" w:cs="Calibri" w:eastAsia="Calibri" w:hAnsi="Calibri"/>
          <w:b/>
          <w:bCs/>
          <w:i w:val="false"/>
          <w:iCs w:val="false"/>
          <w:color w:val="1B2B4B"/>
          <w:sz w:val="22"/>
          <w:szCs w:val="22"/>
        </w:rPr>
        <w:t xml:space="preserve">Marcus Ström</w:t>
      </w:r>
    </w:p>
    <w:p>
      <w:pPr>
        <w:spacing w:after="60"/>
        <w:jc w:val="left"/>
      </w:pPr>
      <w:r>
        <w:rPr>
          <w:rFonts w:ascii="Calibri" w:cs="Calibri" w:eastAsia="Calibri" w:hAnsi="Calibri"/>
          <w:b w:val="false"/>
          <w:bCs w:val="false"/>
          <w:i w:val="false"/>
          <w:iCs w:val="false"/>
          <w:color w:val="475569"/>
          <w:sz w:val="22"/>
          <w:szCs w:val="22"/>
        </w:rPr>
        <w:t xml:space="preserve">Key Account Manager  |  Frontpac AB</w:t>
      </w:r>
    </w:p>
    <w:p>
      <w:pPr>
        <w:spacing w:after="60"/>
        <w:jc w:val="left"/>
      </w:pPr>
      <w:r>
        <w:rPr>
          <w:rFonts w:ascii="Calibri" w:cs="Calibri" w:eastAsia="Calibri" w:hAnsi="Calibri"/>
          <w:b w:val="false"/>
          <w:bCs w:val="false"/>
          <w:i w:val="false"/>
          <w:iCs w:val="false"/>
          <w:color w:val="0891B2"/>
          <w:sz w:val="22"/>
          <w:szCs w:val="22"/>
        </w:rPr>
        <w:t xml:space="preserve">marcus.strom@frontpac.se  |  +46 70 891 23 45</w:t>
      </w:r>
    </w:p>
    <w:p>
      <w:pPr>
        <w:spacing w:after="80"/>
      </w:pPr>
      <w:r>
        <w:t xml:space="preserve"/>
      </w:r>
    </w:p>
    <w:p>
      <w:pPr>
        <w:spacing w:after="0"/>
        <w:jc w:val="left"/>
      </w:pPr>
      <w:r>
        <w:rPr>
          <w:rFonts w:ascii="Calibri" w:cs="Calibri" w:eastAsia="Calibri" w:hAnsi="Calibri"/>
          <w:b w:val="false"/>
          <w:bCs w:val="false"/>
          <w:i/>
          <w:iCs/>
          <w:color w:val="64748B"/>
          <w:sz w:val="19"/>
          <w:szCs w:val="19"/>
        </w:rPr>
        <w:t xml:space="preserve">Bifogat: Tekniska datablad, Certifieringsintyg (ISO 9001, FSC, EU 10/2011), Hållbarhetsrapport 2025</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80" w:hanging="240"/>
      </w:pPr>
    </w:lvl>
  </w:abstractNum>
  <w:abstractNum w:abstractNumId="3" w15:restartNumberingAfterBreak="0">
    <w:multiLevelType w:val="hybridMultilevel"/>
    <w:lvl w:ilvl="0" w15:tentative="1">
      <w:start w:val="1"/>
      <w:numFmt w:val="decimal"/>
      <w:lvlText w:val="%1."/>
      <w:lvlJc w:val="left"/>
      <w:pPr>
        <w:ind w:left="48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320" w:after="200"/>
      <w:outlineLvl w:val="0"/>
    </w:pPr>
    <w:rPr>
      <w:rFonts w:ascii="Calibri" w:cs="Calibri" w:eastAsia="Calibri" w:hAnsi="Calibri"/>
      <w:b/>
      <w:bCs/>
      <w:color w:val="1B2B4B"/>
      <w:sz w:val="32"/>
      <w:szCs w:val="32"/>
    </w:rPr>
  </w:style>
  <w:style w:type="paragraph" w:styleId="Heading2">
    <w:name w:val="Heading 2"/>
    <w:basedOn w:val="Normal"/>
    <w:next w:val="Normal"/>
    <w:qFormat/>
    <w:pPr>
      <w:spacing w:before="240" w:after="160"/>
      <w:outlineLvl w:val="1"/>
    </w:pPr>
    <w:rPr>
      <w:rFonts w:ascii="Calibri" w:cs="Calibri" w:eastAsia="Calibri" w:hAnsi="Calibri"/>
      <w:b/>
      <w:bCs/>
      <w:color w:val="1B2B4B"/>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2026-03-12T21:23:56.542Z</dcterms:created>
  <dcterms:modified xsi:type="dcterms:W3CDTF">2026-03-12T21:23:56.543Z</dcterms:modified>
</cp:coreProperties>
</file>

<file path=docProps/custom.xml><?xml version="1.0" encoding="utf-8"?>
<Properties xmlns="http://schemas.openxmlformats.org/officeDocument/2006/custom-properties" xmlns:vt="http://schemas.openxmlformats.org/officeDocument/2006/docPropsVTypes"/>
</file>